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7AC" w14:textId="77777777" w:rsidR="00C0419A" w:rsidRDefault="00C0419A" w:rsidP="00C0419A">
      <w:pPr>
        <w:jc w:val="center"/>
      </w:pPr>
      <w:r>
        <w:rPr>
          <w:noProof/>
        </w:rPr>
        <w:drawing>
          <wp:inline distT="0" distB="0" distL="0" distR="0" wp14:anchorId="1B2C2597" wp14:editId="07AADAFD">
            <wp:extent cx="4195281" cy="3200400"/>
            <wp:effectExtent l="19050" t="0" r="0" b="0"/>
            <wp:docPr id="5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_color.tif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8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5151" w14:textId="77777777" w:rsidR="00C0419A" w:rsidRDefault="00C0419A"/>
    <w:p w14:paraId="1A0C767B" w14:textId="77777777" w:rsidR="00C0419A" w:rsidRDefault="00C0419A"/>
    <w:p w14:paraId="6B2A0F71" w14:textId="77777777" w:rsidR="00C0419A" w:rsidRPr="00C0419A" w:rsidRDefault="00104D63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>Appeal</w:t>
      </w:r>
      <w:r w:rsidR="00D448EF">
        <w:rPr>
          <w:sz w:val="56"/>
          <w:szCs w:val="56"/>
        </w:rPr>
        <w:t xml:space="preserve"> </w:t>
      </w:r>
      <w:r w:rsidR="005F49FA">
        <w:rPr>
          <w:sz w:val="56"/>
          <w:szCs w:val="56"/>
        </w:rPr>
        <w:t>Policy</w:t>
      </w:r>
    </w:p>
    <w:p w14:paraId="479F5C2F" w14:textId="77777777" w:rsidR="00C0419A" w:rsidRDefault="00C0419A" w:rsidP="00C0419A">
      <w:pPr>
        <w:jc w:val="center"/>
        <w:rPr>
          <w:sz w:val="36"/>
          <w:szCs w:val="36"/>
        </w:rPr>
      </w:pPr>
    </w:p>
    <w:p w14:paraId="47A053E9" w14:textId="77777777" w:rsidR="00C0419A" w:rsidRDefault="00C0419A" w:rsidP="00C0419A">
      <w:pPr>
        <w:jc w:val="center"/>
        <w:rPr>
          <w:sz w:val="36"/>
          <w:szCs w:val="36"/>
        </w:rPr>
      </w:pPr>
    </w:p>
    <w:p w14:paraId="6CBFED81" w14:textId="77777777" w:rsidR="00C0419A" w:rsidRDefault="00C0419A" w:rsidP="00C0419A">
      <w:pPr>
        <w:jc w:val="center"/>
        <w:rPr>
          <w:sz w:val="36"/>
          <w:szCs w:val="36"/>
        </w:rPr>
      </w:pPr>
    </w:p>
    <w:p w14:paraId="1A07623B" w14:textId="77777777" w:rsidR="00C0419A" w:rsidRDefault="00C0419A" w:rsidP="00C0419A">
      <w:pPr>
        <w:jc w:val="center"/>
        <w:rPr>
          <w:sz w:val="36"/>
          <w:szCs w:val="36"/>
        </w:rPr>
      </w:pPr>
    </w:p>
    <w:p w14:paraId="2850285C" w14:textId="77777777" w:rsidR="00C0419A" w:rsidRDefault="00C0419A" w:rsidP="00C0419A">
      <w:pPr>
        <w:jc w:val="center"/>
        <w:rPr>
          <w:sz w:val="36"/>
          <w:szCs w:val="36"/>
        </w:rPr>
      </w:pPr>
    </w:p>
    <w:p w14:paraId="26290A5F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OF POULSBO</w:t>
      </w:r>
    </w:p>
    <w:p w14:paraId="0F7F93CA" w14:textId="77777777" w:rsidR="00C0419A" w:rsidRDefault="00610AB8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Draft:</w:t>
      </w:r>
      <w:r w:rsidR="00104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4D63">
        <w:rPr>
          <w:sz w:val="24"/>
          <w:szCs w:val="24"/>
        </w:rPr>
        <w:t>September 8, 2014</w:t>
      </w:r>
    </w:p>
    <w:p w14:paraId="2C55657B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0AB8">
        <w:rPr>
          <w:sz w:val="24"/>
          <w:szCs w:val="24"/>
        </w:rPr>
        <w:t>xecutive Approval:</w:t>
      </w:r>
      <w:r w:rsidR="004C3812">
        <w:rPr>
          <w:sz w:val="24"/>
          <w:szCs w:val="24"/>
        </w:rPr>
        <w:t xml:space="preserve">  </w:t>
      </w:r>
      <w:r w:rsidR="002105F3">
        <w:rPr>
          <w:sz w:val="24"/>
          <w:szCs w:val="24"/>
        </w:rPr>
        <w:t>September 22, 2014</w:t>
      </w:r>
    </w:p>
    <w:p w14:paraId="6322E2E4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</w:t>
      </w:r>
      <w:r w:rsidR="004C3812">
        <w:rPr>
          <w:sz w:val="24"/>
          <w:szCs w:val="24"/>
        </w:rPr>
        <w:t xml:space="preserve">mission Adoption:  </w:t>
      </w:r>
      <w:r w:rsidR="00CF5F91">
        <w:rPr>
          <w:sz w:val="24"/>
          <w:szCs w:val="24"/>
        </w:rPr>
        <w:t>October 2, 2014</w:t>
      </w:r>
    </w:p>
    <w:p w14:paraId="4C674268" w14:textId="5C06C942" w:rsidR="00C0419A" w:rsidRDefault="00610AB8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Revised:</w:t>
      </w:r>
      <w:r w:rsidR="00C90F43">
        <w:rPr>
          <w:sz w:val="24"/>
          <w:szCs w:val="24"/>
        </w:rPr>
        <w:t xml:space="preserve">  </w:t>
      </w:r>
      <w:r w:rsidR="00157A15">
        <w:rPr>
          <w:sz w:val="24"/>
          <w:szCs w:val="24"/>
        </w:rPr>
        <w:t>March</w:t>
      </w:r>
      <w:r w:rsidR="000A6B50">
        <w:rPr>
          <w:sz w:val="24"/>
          <w:szCs w:val="24"/>
        </w:rPr>
        <w:t xml:space="preserve"> </w:t>
      </w:r>
      <w:r w:rsidR="00157A15">
        <w:rPr>
          <w:sz w:val="24"/>
          <w:szCs w:val="24"/>
        </w:rPr>
        <w:t>17</w:t>
      </w:r>
      <w:r w:rsidR="000A6B50">
        <w:rPr>
          <w:sz w:val="24"/>
          <w:szCs w:val="24"/>
        </w:rPr>
        <w:t>, 20</w:t>
      </w:r>
      <w:r w:rsidR="00157A15">
        <w:rPr>
          <w:sz w:val="24"/>
          <w:szCs w:val="24"/>
        </w:rPr>
        <w:t>22</w:t>
      </w:r>
    </w:p>
    <w:p w14:paraId="306B7A1B" w14:textId="6EDF7538" w:rsidR="00C0419A" w:rsidRPr="0071563F" w:rsidRDefault="00C0419A" w:rsidP="00C0419A">
      <w:pPr>
        <w:spacing w:after="0"/>
        <w:rPr>
          <w:sz w:val="56"/>
          <w:szCs w:val="56"/>
        </w:rPr>
      </w:pPr>
      <w:r>
        <w:rPr>
          <w:sz w:val="24"/>
          <w:szCs w:val="24"/>
        </w:rPr>
        <w:t>Review Date</w:t>
      </w:r>
      <w:r w:rsidR="00610AB8">
        <w:rPr>
          <w:sz w:val="24"/>
          <w:szCs w:val="24"/>
        </w:rPr>
        <w:t>:</w:t>
      </w:r>
      <w:r w:rsidR="004C3812">
        <w:rPr>
          <w:sz w:val="24"/>
          <w:szCs w:val="24"/>
        </w:rPr>
        <w:t xml:space="preserve">  </w:t>
      </w:r>
      <w:r w:rsidR="00157A15">
        <w:rPr>
          <w:sz w:val="24"/>
          <w:szCs w:val="24"/>
        </w:rPr>
        <w:t>March</w:t>
      </w:r>
      <w:r w:rsidR="001D4100">
        <w:rPr>
          <w:sz w:val="24"/>
          <w:szCs w:val="24"/>
        </w:rPr>
        <w:t xml:space="preserve"> </w:t>
      </w:r>
      <w:r w:rsidR="00157A15">
        <w:rPr>
          <w:sz w:val="24"/>
          <w:szCs w:val="24"/>
        </w:rPr>
        <w:t>17</w:t>
      </w:r>
      <w:r w:rsidR="001D4100">
        <w:rPr>
          <w:sz w:val="24"/>
          <w:szCs w:val="24"/>
        </w:rPr>
        <w:t>, 202</w:t>
      </w:r>
      <w:r w:rsidR="00157A15">
        <w:rPr>
          <w:sz w:val="24"/>
          <w:szCs w:val="24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D80E2F" w14:paraId="0591AAE8" w14:textId="77777777" w:rsidTr="00D37476">
        <w:tc>
          <w:tcPr>
            <w:tcW w:w="5598" w:type="dxa"/>
            <w:tcBorders>
              <w:bottom w:val="single" w:sz="24" w:space="0" w:color="auto"/>
            </w:tcBorders>
          </w:tcPr>
          <w:sdt>
            <w:sdtPr>
              <w:rPr>
                <w:rFonts w:ascii="Arial" w:hAnsi="Arial" w:cs="Arial"/>
                <w:sz w:val="36"/>
                <w:szCs w:val="36"/>
              </w:rPr>
              <w:id w:val="279234071"/>
              <w:placeholder>
                <w:docPart w:val="27DEA174A0DC488888342E981C20E895"/>
              </w:placeholder>
            </w:sdtPr>
            <w:sdtEndPr/>
            <w:sdtContent>
              <w:p w14:paraId="26382DFC" w14:textId="77777777" w:rsidR="00D80E2F" w:rsidRDefault="00104D63" w:rsidP="00D37476">
                <w:pPr>
                  <w:pStyle w:val="Header"/>
                  <w:tabs>
                    <w:tab w:val="left" w:pos="1578"/>
                  </w:tabs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>Appeal</w:t>
                </w:r>
                <w:r w:rsidR="00807BB3">
                  <w:rPr>
                    <w:rFonts w:ascii="Arial" w:hAnsi="Arial" w:cs="Arial"/>
                    <w:sz w:val="36"/>
                    <w:szCs w:val="36"/>
                  </w:rPr>
                  <w:t xml:space="preserve"> Policy</w:t>
                </w:r>
              </w:p>
            </w:sdtContent>
          </w:sdt>
          <w:p w14:paraId="5448DDA9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A6C7051" w14:textId="77777777" w:rsidR="00415176" w:rsidRDefault="00415176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D1D97AF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24" w:space="0" w:color="auto"/>
            </w:tcBorders>
          </w:tcPr>
          <w:p w14:paraId="7351009E" w14:textId="77777777" w:rsidR="00D80E2F" w:rsidRDefault="00D80E2F" w:rsidP="00D3747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09FDA2D" wp14:editId="4F81C803">
                  <wp:extent cx="1063220" cy="811342"/>
                  <wp:effectExtent l="19050" t="0" r="3580" b="0"/>
                  <wp:docPr id="2" name="Picture 1" descr="Logo1i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inch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3" cy="81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64359" w14:textId="77777777" w:rsidR="00832D42" w:rsidRPr="000C11B1" w:rsidRDefault="00832D42" w:rsidP="00832D42">
      <w:pPr>
        <w:spacing w:after="0"/>
        <w:rPr>
          <w:sz w:val="8"/>
          <w:szCs w:val="8"/>
        </w:rPr>
      </w:pPr>
    </w:p>
    <w:p w14:paraId="48628898" w14:textId="77777777" w:rsidR="00832D42" w:rsidRPr="000C11B1" w:rsidRDefault="00832D42" w:rsidP="00832D42">
      <w:pPr>
        <w:pStyle w:val="Header"/>
        <w:jc w:val="right"/>
        <w:rPr>
          <w:rFonts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4E0A0658" w14:textId="77777777" w:rsidTr="001D3A7D">
        <w:tc>
          <w:tcPr>
            <w:tcW w:w="9558" w:type="dxa"/>
            <w:shd w:val="clear" w:color="auto" w:fill="FF0000"/>
          </w:tcPr>
          <w:p w14:paraId="071F1234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1.  POLICY STATEMENT</w:t>
            </w:r>
          </w:p>
        </w:tc>
      </w:tr>
    </w:tbl>
    <w:p w14:paraId="71A2334F" w14:textId="593A2C1C" w:rsidR="00004EA6" w:rsidRPr="008D5A34" w:rsidRDefault="00947304" w:rsidP="00063694">
      <w:pPr>
        <w:spacing w:before="120" w:after="120"/>
        <w:jc w:val="both"/>
        <w:rPr>
          <w:rFonts w:asciiTheme="minorHAnsi" w:hAnsiTheme="minorHAnsi" w:cs="Arial"/>
        </w:rPr>
      </w:pPr>
      <w:r w:rsidRPr="008D5A34">
        <w:rPr>
          <w:rFonts w:asciiTheme="minorHAnsi" w:hAnsiTheme="minorHAnsi" w:cs="Arial"/>
          <w:sz w:val="24"/>
          <w:szCs w:val="24"/>
        </w:rPr>
        <w:t>The</w:t>
      </w:r>
      <w:r w:rsidR="00104D63" w:rsidRPr="008D5A34">
        <w:rPr>
          <w:rFonts w:asciiTheme="minorHAnsi" w:hAnsiTheme="minorHAnsi" w:cs="Arial"/>
          <w:sz w:val="24"/>
          <w:szCs w:val="24"/>
        </w:rPr>
        <w:t xml:space="preserve"> </w:t>
      </w:r>
      <w:r w:rsidRPr="008D5A34">
        <w:rPr>
          <w:rFonts w:asciiTheme="minorHAnsi" w:hAnsiTheme="minorHAnsi" w:cs="Arial"/>
          <w:sz w:val="24"/>
          <w:szCs w:val="24"/>
        </w:rPr>
        <w:t xml:space="preserve">intent of this </w:t>
      </w:r>
      <w:r w:rsidR="00104D63" w:rsidRPr="008D5A34">
        <w:rPr>
          <w:rFonts w:asciiTheme="minorHAnsi" w:hAnsiTheme="minorHAnsi" w:cs="Arial"/>
          <w:sz w:val="24"/>
          <w:szCs w:val="24"/>
        </w:rPr>
        <w:t>policy</w:t>
      </w:r>
      <w:r w:rsidR="008D5A34">
        <w:rPr>
          <w:rFonts w:asciiTheme="minorHAnsi" w:hAnsiTheme="minorHAnsi" w:cs="Arial"/>
          <w:sz w:val="24"/>
          <w:szCs w:val="24"/>
        </w:rPr>
        <w:t xml:space="preserve"> and procedure</w:t>
      </w:r>
      <w:r w:rsidRPr="008D5A34">
        <w:rPr>
          <w:rFonts w:asciiTheme="minorHAnsi" w:hAnsiTheme="minorHAnsi" w:cs="Arial"/>
          <w:sz w:val="24"/>
          <w:szCs w:val="24"/>
        </w:rPr>
        <w:t xml:space="preserve"> is to provide a process</w:t>
      </w:r>
      <w:r w:rsidR="00104D63" w:rsidRPr="008D5A34">
        <w:rPr>
          <w:rFonts w:asciiTheme="minorHAnsi" w:hAnsiTheme="minorHAnsi" w:cs="Arial"/>
          <w:sz w:val="24"/>
          <w:szCs w:val="24"/>
        </w:rPr>
        <w:t xml:space="preserve"> by which </w:t>
      </w:r>
      <w:r w:rsidR="004635F0">
        <w:rPr>
          <w:rFonts w:asciiTheme="minorHAnsi" w:hAnsiTheme="minorHAnsi" w:cs="Arial"/>
          <w:sz w:val="24"/>
          <w:szCs w:val="24"/>
        </w:rPr>
        <w:t>an</w:t>
      </w:r>
      <w:r w:rsidR="008D5A34" w:rsidRPr="008D5A34">
        <w:rPr>
          <w:rFonts w:asciiTheme="minorHAnsi" w:hAnsiTheme="minorHAnsi" w:cs="Arial"/>
          <w:sz w:val="24"/>
          <w:szCs w:val="24"/>
        </w:rPr>
        <w:t xml:space="preserve"> appeal </w:t>
      </w:r>
      <w:r w:rsidR="004635F0">
        <w:rPr>
          <w:rFonts w:asciiTheme="minorHAnsi" w:hAnsiTheme="minorHAnsi" w:cs="Arial"/>
          <w:sz w:val="24"/>
          <w:szCs w:val="24"/>
        </w:rPr>
        <w:t xml:space="preserve">of </w:t>
      </w:r>
      <w:r w:rsidR="008D5A34" w:rsidRPr="008D5A34">
        <w:rPr>
          <w:rFonts w:asciiTheme="minorHAnsi" w:hAnsiTheme="minorHAnsi" w:cs="Arial"/>
          <w:sz w:val="24"/>
          <w:szCs w:val="24"/>
        </w:rPr>
        <w:t xml:space="preserve">an </w:t>
      </w:r>
      <w:r w:rsidR="00EF0281">
        <w:rPr>
          <w:rFonts w:asciiTheme="minorHAnsi" w:hAnsiTheme="minorHAnsi" w:cs="Arial"/>
          <w:sz w:val="24"/>
          <w:szCs w:val="24"/>
        </w:rPr>
        <w:t>Executive Director</w:t>
      </w:r>
      <w:r w:rsidR="008D5A34" w:rsidRPr="008D5A34">
        <w:rPr>
          <w:rFonts w:asciiTheme="minorHAnsi" w:hAnsiTheme="minorHAnsi" w:cs="Arial"/>
          <w:sz w:val="24"/>
          <w:szCs w:val="24"/>
        </w:rPr>
        <w:t xml:space="preserve"> decision</w:t>
      </w:r>
      <w:r w:rsidR="004635F0">
        <w:rPr>
          <w:rFonts w:asciiTheme="minorHAnsi" w:hAnsiTheme="minorHAnsi" w:cs="Arial"/>
          <w:sz w:val="24"/>
          <w:szCs w:val="24"/>
        </w:rPr>
        <w:t xml:space="preserve"> may be filed</w:t>
      </w:r>
      <w:r w:rsidR="00104D63" w:rsidRPr="008D5A34">
        <w:rPr>
          <w:rFonts w:asciiTheme="minorHAnsi" w:hAnsiTheme="minorHAnsi" w:cs="Arial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8D5A34" w14:paraId="2756601D" w14:textId="77777777" w:rsidTr="001D3A7D">
        <w:tc>
          <w:tcPr>
            <w:tcW w:w="9558" w:type="dxa"/>
            <w:shd w:val="clear" w:color="auto" w:fill="FF0000"/>
          </w:tcPr>
          <w:p w14:paraId="769759A1" w14:textId="77777777" w:rsidR="00832D42" w:rsidRPr="008D5A34" w:rsidRDefault="00832D42" w:rsidP="001D3A7D">
            <w:pPr>
              <w:spacing w:after="0" w:line="240" w:lineRule="auto"/>
              <w:ind w:left="1440" w:hanging="1440"/>
              <w:jc w:val="both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8D5A34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2.  POLICY GUIDELINES</w:t>
            </w:r>
          </w:p>
        </w:tc>
      </w:tr>
    </w:tbl>
    <w:p w14:paraId="37B1FE4B" w14:textId="77777777" w:rsidR="008D5A34" w:rsidRPr="008D5A34" w:rsidRDefault="008D5A34" w:rsidP="008D5A34">
      <w:pPr>
        <w:pStyle w:val="PlainText"/>
        <w:rPr>
          <w:rFonts w:asciiTheme="minorHAnsi" w:hAnsiTheme="minorHAnsi"/>
        </w:rPr>
      </w:pPr>
    </w:p>
    <w:p w14:paraId="42756135" w14:textId="4FBE8F46" w:rsidR="00063694" w:rsidRDefault="008D5A34" w:rsidP="00063694">
      <w:pPr>
        <w:spacing w:after="0" w:line="240" w:lineRule="auto"/>
        <w:jc w:val="both"/>
      </w:pPr>
      <w:r w:rsidRPr="008D5A34">
        <w:t xml:space="preserve">It shall be presumed by the </w:t>
      </w:r>
      <w:r w:rsidR="00E96772">
        <w:t xml:space="preserve">Port </w:t>
      </w:r>
      <w:r w:rsidRPr="008D5A34">
        <w:t xml:space="preserve">Commission that decisions and orders of the </w:t>
      </w:r>
      <w:r w:rsidR="00EF0281">
        <w:t>Executive Director</w:t>
      </w:r>
      <w:r w:rsidRPr="008D5A34">
        <w:t xml:space="preserve"> are lawful and proper.  In the absence of evidence to the contrary, decisions and orders shall stand.</w:t>
      </w:r>
    </w:p>
    <w:p w14:paraId="2C1EFF8D" w14:textId="77777777" w:rsidR="008D5A34" w:rsidRPr="008D5A34" w:rsidRDefault="008D5A34" w:rsidP="00063694">
      <w:pPr>
        <w:spacing w:after="0" w:line="240" w:lineRule="auto"/>
        <w:jc w:val="both"/>
      </w:pPr>
      <w:r w:rsidRPr="008D5A34">
        <w:t xml:space="preserve">   </w:t>
      </w:r>
    </w:p>
    <w:p w14:paraId="3C3EA122" w14:textId="698729E3" w:rsidR="008D5A34" w:rsidRDefault="008D5A34" w:rsidP="00063694">
      <w:pPr>
        <w:spacing w:after="0" w:line="240" w:lineRule="auto"/>
        <w:jc w:val="both"/>
      </w:pPr>
      <w:r w:rsidRPr="008D5A34">
        <w:t xml:space="preserve"> Any aggrieved person desiring to appeal the final decision or order of the </w:t>
      </w:r>
      <w:r w:rsidR="00EF0281">
        <w:t>Executive Director</w:t>
      </w:r>
      <w:r w:rsidRPr="008D5A34">
        <w:t xml:space="preserve"> </w:t>
      </w:r>
      <w:r w:rsidR="00063694">
        <w:t>shall follow the procedure below</w:t>
      </w:r>
      <w:r w:rsidR="00AA1373">
        <w:t>.</w:t>
      </w:r>
      <w:r w:rsidRPr="008D5A34">
        <w:t> </w:t>
      </w:r>
    </w:p>
    <w:p w14:paraId="49B8782F" w14:textId="77777777" w:rsidR="00AA1373" w:rsidRDefault="00AA1373" w:rsidP="00AA137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562"/>
      </w:tblGrid>
      <w:tr w:rsidR="008D5A34" w14:paraId="7D4BAA39" w14:textId="77777777" w:rsidTr="008D5A34">
        <w:trPr>
          <w:trHeight w:val="302"/>
        </w:trPr>
        <w:tc>
          <w:tcPr>
            <w:tcW w:w="9562" w:type="dxa"/>
            <w:shd w:val="clear" w:color="auto" w:fill="FF0000"/>
          </w:tcPr>
          <w:p w14:paraId="44E76CF4" w14:textId="77777777" w:rsidR="008D5A34" w:rsidRPr="008D5A34" w:rsidRDefault="008D5A34" w:rsidP="00AA13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D5A34">
              <w:rPr>
                <w:b/>
                <w:color w:val="FFFFFF" w:themeColor="background1"/>
                <w:sz w:val="24"/>
                <w:szCs w:val="24"/>
              </w:rPr>
              <w:t>3.  APPEAL PROCEDURE</w:t>
            </w:r>
          </w:p>
        </w:tc>
      </w:tr>
    </w:tbl>
    <w:p w14:paraId="5ACE47E3" w14:textId="77777777" w:rsidR="008D5A34" w:rsidRPr="008D5A34" w:rsidRDefault="008D5A34" w:rsidP="00AA1373">
      <w:pPr>
        <w:spacing w:after="0" w:line="240" w:lineRule="auto"/>
      </w:pPr>
    </w:p>
    <w:p w14:paraId="36A8C0FB" w14:textId="2A36D09F" w:rsidR="00063694" w:rsidRDefault="00063694" w:rsidP="00741A63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 xml:space="preserve">Appellant </w:t>
      </w:r>
      <w:r w:rsidR="00F32EEE">
        <w:t>shall</w:t>
      </w:r>
      <w:r>
        <w:t xml:space="preserve"> file</w:t>
      </w:r>
      <w:r w:rsidR="003C0AED">
        <w:t xml:space="preserve"> a written appeal with the </w:t>
      </w:r>
      <w:r w:rsidR="00EF0281">
        <w:t>Executive Director</w:t>
      </w:r>
      <w:r w:rsidR="003C0AED">
        <w:t xml:space="preserve"> w</w:t>
      </w:r>
      <w:r w:rsidR="008D5A34" w:rsidRPr="008D5A34">
        <w:t xml:space="preserve">ithin five (5) calendar days of the final decision or order of the </w:t>
      </w:r>
      <w:r w:rsidR="00EF0281">
        <w:t>Executive Director</w:t>
      </w:r>
      <w:r w:rsidR="003363F0">
        <w:t>.</w:t>
      </w:r>
      <w:r w:rsidR="008D5A34" w:rsidRPr="008D5A34">
        <w:t> </w:t>
      </w:r>
    </w:p>
    <w:p w14:paraId="03003E25" w14:textId="77777777" w:rsidR="00063694" w:rsidRDefault="00063694" w:rsidP="00063694">
      <w:pPr>
        <w:spacing w:after="0" w:line="240" w:lineRule="auto"/>
        <w:jc w:val="both"/>
      </w:pPr>
    </w:p>
    <w:p w14:paraId="3B5CC691" w14:textId="77777777" w:rsidR="00063694" w:rsidRDefault="00063694" w:rsidP="00741A63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</w:pPr>
      <w:r>
        <w:t>The</w:t>
      </w:r>
      <w:r w:rsidRPr="008D5A34">
        <w:t xml:space="preserve"> written appeal sh</w:t>
      </w:r>
      <w:r>
        <w:t>all be limited to one 8.5”</w:t>
      </w:r>
      <w:r w:rsidRPr="008D5A34">
        <w:t xml:space="preserve"> x 11</w:t>
      </w:r>
      <w:r>
        <w:t>” page</w:t>
      </w:r>
      <w:r w:rsidRPr="008D5A34">
        <w:t>. </w:t>
      </w:r>
    </w:p>
    <w:p w14:paraId="713A7A33" w14:textId="77777777" w:rsidR="00063694" w:rsidRDefault="00063694" w:rsidP="00741A63">
      <w:pPr>
        <w:spacing w:after="0" w:line="240" w:lineRule="auto"/>
        <w:ind w:left="1080"/>
        <w:jc w:val="both"/>
      </w:pPr>
    </w:p>
    <w:p w14:paraId="6B6ED8FB" w14:textId="358EA0C1" w:rsidR="00063694" w:rsidRDefault="00837480" w:rsidP="00741A63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</w:pPr>
      <w:r>
        <w:t xml:space="preserve">The </w:t>
      </w:r>
      <w:r w:rsidR="00EF0281">
        <w:t>Executive Director</w:t>
      </w:r>
      <w:r w:rsidR="00063694" w:rsidRPr="008D5A34">
        <w:t xml:space="preserve"> shall</w:t>
      </w:r>
      <w:r>
        <w:t>,</w:t>
      </w:r>
      <w:r w:rsidR="00063694" w:rsidRPr="008D5A34">
        <w:t xml:space="preserve"> within two (2) calendar days</w:t>
      </w:r>
      <w:r>
        <w:t>,</w:t>
      </w:r>
      <w:r w:rsidR="00063694" w:rsidRPr="008D5A34">
        <w:t xml:space="preserve"> provide copies to each </w:t>
      </w:r>
      <w:r w:rsidR="004635F0">
        <w:t>C</w:t>
      </w:r>
      <w:r w:rsidR="00063694" w:rsidRPr="008D5A34">
        <w:t xml:space="preserve">ommissioner for review.  </w:t>
      </w:r>
    </w:p>
    <w:p w14:paraId="1687091A" w14:textId="77777777" w:rsidR="00063694" w:rsidRDefault="00063694" w:rsidP="00741A63">
      <w:pPr>
        <w:spacing w:after="0" w:line="240" w:lineRule="auto"/>
        <w:ind w:left="1080"/>
        <w:jc w:val="both"/>
      </w:pPr>
    </w:p>
    <w:p w14:paraId="5574DDEC" w14:textId="77777777" w:rsidR="003C0AED" w:rsidRDefault="00063694" w:rsidP="00741A63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</w:pPr>
      <w:r w:rsidRPr="008D5A34">
        <w:t>Copies may be transmitted by email by appellant</w:t>
      </w:r>
      <w:r>
        <w:t xml:space="preserve"> directly to </w:t>
      </w:r>
      <w:r w:rsidRPr="008D5A34">
        <w:t>Commissioners.</w:t>
      </w:r>
    </w:p>
    <w:p w14:paraId="7F727867" w14:textId="77777777" w:rsidR="008D5A34" w:rsidRPr="008D5A34" w:rsidRDefault="008D5A34" w:rsidP="00741A63">
      <w:pPr>
        <w:spacing w:after="0" w:line="240" w:lineRule="auto"/>
        <w:ind w:firstLine="135"/>
        <w:jc w:val="both"/>
      </w:pPr>
    </w:p>
    <w:p w14:paraId="6582072B" w14:textId="77777777" w:rsidR="008D5A34" w:rsidRDefault="008D5A34" w:rsidP="00741A63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8D5A34">
        <w:t>Said written appeal shall provide, as a minimum, the following information:  </w:t>
      </w:r>
    </w:p>
    <w:p w14:paraId="4859F149" w14:textId="77777777" w:rsidR="00B418CD" w:rsidRPr="008D5A34" w:rsidRDefault="00B418CD" w:rsidP="00063694">
      <w:pPr>
        <w:spacing w:after="0" w:line="240" w:lineRule="auto"/>
        <w:jc w:val="both"/>
      </w:pPr>
    </w:p>
    <w:p w14:paraId="3D8A503E" w14:textId="77777777" w:rsidR="008D5A34" w:rsidRDefault="00837480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I</w:t>
      </w:r>
      <w:r w:rsidR="008D5A34" w:rsidRPr="008D5A34">
        <w:t>dentit</w:t>
      </w:r>
      <w:r>
        <w:t xml:space="preserve">y of appellant, </w:t>
      </w:r>
      <w:r w:rsidR="008D5A34" w:rsidRPr="008D5A34">
        <w:t>date of appeal</w:t>
      </w:r>
      <w:r w:rsidR="00493791">
        <w:t>, and any applicable vessel name and slip number</w:t>
      </w:r>
      <w:r>
        <w:t>.</w:t>
      </w:r>
      <w:r w:rsidR="008D5A34" w:rsidRPr="008D5A34">
        <w:t xml:space="preserve">  </w:t>
      </w:r>
    </w:p>
    <w:p w14:paraId="7E352260" w14:textId="77777777" w:rsidR="00B418CD" w:rsidRDefault="00B418CD" w:rsidP="008F4244">
      <w:pPr>
        <w:spacing w:after="0" w:line="240" w:lineRule="auto"/>
        <w:ind w:left="1080"/>
        <w:jc w:val="both"/>
      </w:pPr>
    </w:p>
    <w:p w14:paraId="5774C47E" w14:textId="77777777" w:rsidR="008D5A34" w:rsidRDefault="00837480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S</w:t>
      </w:r>
      <w:r w:rsidR="008D5A34" w:rsidRPr="008D5A34">
        <w:t>hort summary of relevant and specific facts</w:t>
      </w:r>
      <w:r>
        <w:t>.</w:t>
      </w:r>
      <w:r w:rsidR="008D5A34" w:rsidRPr="008D5A34">
        <w:t xml:space="preserve">  </w:t>
      </w:r>
    </w:p>
    <w:p w14:paraId="35A30D49" w14:textId="77777777" w:rsidR="00B418CD" w:rsidRDefault="00B418CD" w:rsidP="008F4244">
      <w:pPr>
        <w:spacing w:after="0" w:line="240" w:lineRule="auto"/>
        <w:ind w:left="1080"/>
        <w:jc w:val="both"/>
      </w:pPr>
    </w:p>
    <w:p w14:paraId="4B41787E" w14:textId="77777777" w:rsidR="008D5A34" w:rsidRDefault="00837480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S</w:t>
      </w:r>
      <w:r w:rsidR="008D5A34" w:rsidRPr="008D5A34">
        <w:t>ummarized statement of Executive Director's action giving rise to the appeal</w:t>
      </w:r>
      <w:r>
        <w:t>.</w:t>
      </w:r>
      <w:r w:rsidR="008D5A34" w:rsidRPr="008D5A34">
        <w:t xml:space="preserve">  </w:t>
      </w:r>
    </w:p>
    <w:p w14:paraId="29B864D9" w14:textId="77777777" w:rsidR="00B418CD" w:rsidRDefault="00B418CD" w:rsidP="008F4244">
      <w:pPr>
        <w:spacing w:after="0" w:line="240" w:lineRule="auto"/>
        <w:ind w:left="1080"/>
        <w:jc w:val="both"/>
      </w:pPr>
    </w:p>
    <w:p w14:paraId="2201A1F7" w14:textId="77777777" w:rsidR="008D5A34" w:rsidRDefault="00837480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E</w:t>
      </w:r>
      <w:r w:rsidR="008D5A34" w:rsidRPr="008D5A34">
        <w:t>ach argument in support of appeal</w:t>
      </w:r>
      <w:r w:rsidR="00F32EEE">
        <w:t xml:space="preserve"> and specific relief requested</w:t>
      </w:r>
      <w:r>
        <w:t>.</w:t>
      </w:r>
      <w:r w:rsidR="008D5A34" w:rsidRPr="008D5A34">
        <w:t xml:space="preserve">  </w:t>
      </w:r>
    </w:p>
    <w:p w14:paraId="33AF3EFF" w14:textId="77777777" w:rsidR="00B418CD" w:rsidRDefault="00B418CD" w:rsidP="008F4244">
      <w:pPr>
        <w:spacing w:after="0" w:line="240" w:lineRule="auto"/>
        <w:ind w:left="1080"/>
        <w:jc w:val="both"/>
      </w:pPr>
    </w:p>
    <w:p w14:paraId="6510944D" w14:textId="77777777" w:rsidR="008D5A34" w:rsidRDefault="00837480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R</w:t>
      </w:r>
      <w:r w:rsidR="008D5A34" w:rsidRPr="008D5A34">
        <w:t>egulations, Port policies, and City and/or state law</w:t>
      </w:r>
      <w:r>
        <w:t>s</w:t>
      </w:r>
      <w:r w:rsidR="00A74914">
        <w:t xml:space="preserve"> being challenged</w:t>
      </w:r>
      <w:r>
        <w:t>.</w:t>
      </w:r>
      <w:r w:rsidR="008D5A34" w:rsidRPr="008D5A34">
        <w:t xml:space="preserve">  </w:t>
      </w:r>
    </w:p>
    <w:p w14:paraId="48163BBE" w14:textId="77777777" w:rsidR="00B418CD" w:rsidRDefault="00B418CD" w:rsidP="008F4244">
      <w:pPr>
        <w:spacing w:after="0" w:line="240" w:lineRule="auto"/>
        <w:ind w:left="1080"/>
        <w:jc w:val="both"/>
      </w:pPr>
    </w:p>
    <w:p w14:paraId="17FEC5D6" w14:textId="77777777" w:rsidR="00A74914" w:rsidRDefault="00A74914" w:rsidP="008F4244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</w:pPr>
      <w:r>
        <w:t>R</w:t>
      </w:r>
      <w:r w:rsidRPr="008D5A34">
        <w:t>egulations, Port policies, and City and/or state law</w:t>
      </w:r>
      <w:r>
        <w:t>s</w:t>
      </w:r>
      <w:r w:rsidRPr="008D5A34">
        <w:t xml:space="preserve"> in support of appeal</w:t>
      </w:r>
      <w:r>
        <w:t>.</w:t>
      </w:r>
      <w:r w:rsidRPr="008D5A34">
        <w:t xml:space="preserve">  </w:t>
      </w:r>
    </w:p>
    <w:p w14:paraId="23F8661B" w14:textId="77777777" w:rsidR="00AA1373" w:rsidRDefault="00AA1373" w:rsidP="00063694">
      <w:pPr>
        <w:spacing w:after="0" w:line="240" w:lineRule="auto"/>
        <w:jc w:val="both"/>
      </w:pPr>
    </w:p>
    <w:p w14:paraId="0B71D89A" w14:textId="77777777" w:rsidR="008F4244" w:rsidRDefault="008F4244" w:rsidP="00063694">
      <w:pPr>
        <w:spacing w:after="0" w:line="240" w:lineRule="auto"/>
        <w:jc w:val="both"/>
      </w:pPr>
    </w:p>
    <w:p w14:paraId="298F47AA" w14:textId="77777777" w:rsidR="008D5A34" w:rsidRDefault="008D5A34" w:rsidP="00741A63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8D5A34">
        <w:lastRenderedPageBreak/>
        <w:t>After review</w:t>
      </w:r>
      <w:r w:rsidR="00FB1C0B">
        <w:t xml:space="preserve"> of the written appeal</w:t>
      </w:r>
      <w:r w:rsidR="00951211">
        <w:t xml:space="preserve"> by any C</w:t>
      </w:r>
      <w:r w:rsidRPr="008D5A34">
        <w:t>ommissioner, the appellant</w:t>
      </w:r>
      <w:r w:rsidR="00F32EEE">
        <w:t>, upon request,</w:t>
      </w:r>
      <w:r w:rsidRPr="008D5A34">
        <w:t xml:space="preserve"> may be granted</w:t>
      </w:r>
      <w:r w:rsidR="00FB1C0B">
        <w:t>,</w:t>
      </w:r>
      <w:r w:rsidR="00951211">
        <w:t xml:space="preserve"> by that C</w:t>
      </w:r>
      <w:r w:rsidRPr="008D5A34">
        <w:t>ommissioner</w:t>
      </w:r>
      <w:r w:rsidR="00FB1C0B">
        <w:t>,</w:t>
      </w:r>
      <w:r w:rsidRPr="008D5A34">
        <w:t xml:space="preserve"> a ten minute hearing at the next regularly scheduled Board meeting to present</w:t>
      </w:r>
      <w:r w:rsidR="00F55F05">
        <w:t>,</w:t>
      </w:r>
      <w:r w:rsidRPr="008D5A34">
        <w:t xml:space="preserve"> by way of oral testimony</w:t>
      </w:r>
      <w:r w:rsidR="00F55F05">
        <w:t>,</w:t>
      </w:r>
      <w:r w:rsidRPr="008D5A34">
        <w:t xml:space="preserve"> his/her arguments in support of the appeal.  Otherwise the appeal will be decided on the record without further hearing, with a final decision by the Board, usually within twenty-one (21) calendar days.   </w:t>
      </w:r>
    </w:p>
    <w:p w14:paraId="78BD15AD" w14:textId="77777777" w:rsidR="00AA1373" w:rsidRPr="008D5A34" w:rsidRDefault="00AA1373" w:rsidP="00063694">
      <w:pPr>
        <w:spacing w:after="0" w:line="240" w:lineRule="auto"/>
        <w:jc w:val="both"/>
      </w:pPr>
    </w:p>
    <w:p w14:paraId="08F594A6" w14:textId="77777777" w:rsidR="00AA1373" w:rsidRDefault="00FB1C0B" w:rsidP="00741A63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>The</w:t>
      </w:r>
      <w:r w:rsidR="008D5A34" w:rsidRPr="008D5A34">
        <w:t xml:space="preserve"> written appeal</w:t>
      </w:r>
      <w:r w:rsidR="004635F0">
        <w:t>, after conclusion of any hearing,</w:t>
      </w:r>
      <w:r w:rsidR="008D5A34" w:rsidRPr="008D5A34">
        <w:t xml:space="preserve"> will be reviewed by the Board</w:t>
      </w:r>
      <w:r w:rsidR="00F55F05">
        <w:t>. </w:t>
      </w:r>
      <w:r w:rsidR="008D5A34" w:rsidRPr="008D5A34">
        <w:t>Absent a finding of illegality, arbitrariness, or abuse of discretion by the Executive Director, the decision of the Executive Director will be final.</w:t>
      </w:r>
    </w:p>
    <w:p w14:paraId="50544F17" w14:textId="77777777" w:rsidR="008D5A34" w:rsidRPr="008D5A34" w:rsidRDefault="008D5A34" w:rsidP="00741A63">
      <w:pPr>
        <w:spacing w:after="0" w:line="240" w:lineRule="auto"/>
        <w:ind w:firstLine="135"/>
        <w:jc w:val="both"/>
      </w:pPr>
    </w:p>
    <w:p w14:paraId="4D6AF454" w14:textId="77777777" w:rsidR="00BC7815" w:rsidRPr="00741A63" w:rsidRDefault="008D5A34" w:rsidP="00741A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 w:rsidRPr="008D5A34">
        <w:t>For appeals regarding continuation of moorage</w:t>
      </w:r>
      <w:r w:rsidR="00F55F05">
        <w:t xml:space="preserve"> </w:t>
      </w:r>
      <w:r w:rsidR="00E96772">
        <w:t>privileges</w:t>
      </w:r>
      <w:r w:rsidR="00F55F05">
        <w:t xml:space="preserve">, the </w:t>
      </w:r>
      <w:r w:rsidRPr="008D5A34">
        <w:t>appellant is entitled to retain the assigned slip only if he/she has paid in advance</w:t>
      </w:r>
      <w:r w:rsidR="00F55F05">
        <w:t>,</w:t>
      </w:r>
      <w:r w:rsidRPr="008D5A34">
        <w:t xml:space="preserve"> monthly moorage fees and charges anticipated for the period of the appeal's review.</w:t>
      </w:r>
    </w:p>
    <w:sectPr w:rsidR="00BC7815" w:rsidRPr="00741A63" w:rsidSect="008D5A3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CF28" w14:textId="77777777" w:rsidR="003363F0" w:rsidRPr="005701B7" w:rsidRDefault="003363F0" w:rsidP="009A276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3433FC93" w14:textId="77777777" w:rsidR="003363F0" w:rsidRPr="005701B7" w:rsidRDefault="003363F0" w:rsidP="009A276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0B5A" w14:textId="77777777" w:rsidR="003363F0" w:rsidRDefault="003363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Port of Poulsbo – Appeal Policy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A6B50">
      <w:rPr>
        <w:rFonts w:asciiTheme="majorHAnsi" w:hAnsiTheme="majorHAnsi"/>
        <w:noProof/>
      </w:rPr>
      <w:fldChar w:fldCharType="begin"/>
    </w:r>
    <w:r w:rsidR="000A6B50">
      <w:rPr>
        <w:rFonts w:asciiTheme="majorHAnsi" w:hAnsiTheme="majorHAnsi"/>
        <w:noProof/>
      </w:rPr>
      <w:instrText xml:space="preserve"> PAGE   \* MERGEFORMAT </w:instrText>
    </w:r>
    <w:r w:rsidR="000A6B50">
      <w:rPr>
        <w:rFonts w:asciiTheme="majorHAnsi" w:hAnsiTheme="majorHAnsi"/>
        <w:noProof/>
      </w:rPr>
      <w:fldChar w:fldCharType="separate"/>
    </w:r>
    <w:r w:rsidR="00C90F43" w:rsidRPr="00C90F43">
      <w:rPr>
        <w:rFonts w:asciiTheme="majorHAnsi" w:hAnsiTheme="majorHAnsi"/>
        <w:noProof/>
      </w:rPr>
      <w:t>1</w:t>
    </w:r>
    <w:r w:rsidR="000A6B50">
      <w:rPr>
        <w:rFonts w:asciiTheme="majorHAnsi" w:hAnsiTheme="majorHAnsi"/>
        <w:noProof/>
      </w:rPr>
      <w:fldChar w:fldCharType="end"/>
    </w:r>
  </w:p>
  <w:p w14:paraId="28FF413B" w14:textId="77777777" w:rsidR="003363F0" w:rsidRDefault="0033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08DC" w14:textId="77777777" w:rsidR="003363F0" w:rsidRPr="005701B7" w:rsidRDefault="003363F0" w:rsidP="009A276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4F9698A8" w14:textId="77777777" w:rsidR="003363F0" w:rsidRPr="005701B7" w:rsidRDefault="003363F0" w:rsidP="009A276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6455" w14:textId="77777777" w:rsidR="003363F0" w:rsidRDefault="0033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2617" w14:textId="77777777" w:rsidR="003363F0" w:rsidRDefault="00336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212" w14:textId="77777777" w:rsidR="003363F0" w:rsidRDefault="00336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AD"/>
    <w:multiLevelType w:val="hybridMultilevel"/>
    <w:tmpl w:val="5C384DFE"/>
    <w:lvl w:ilvl="0" w:tplc="9314F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87868"/>
    <w:multiLevelType w:val="hybridMultilevel"/>
    <w:tmpl w:val="FFCA6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2C"/>
    <w:multiLevelType w:val="hybridMultilevel"/>
    <w:tmpl w:val="18AA9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73DE5"/>
    <w:multiLevelType w:val="hybridMultilevel"/>
    <w:tmpl w:val="9B6AA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99F"/>
    <w:multiLevelType w:val="hybridMultilevel"/>
    <w:tmpl w:val="283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057"/>
    <w:multiLevelType w:val="hybridMultilevel"/>
    <w:tmpl w:val="D75EB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3278"/>
    <w:multiLevelType w:val="hybridMultilevel"/>
    <w:tmpl w:val="C4E6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12B9"/>
    <w:multiLevelType w:val="hybridMultilevel"/>
    <w:tmpl w:val="FF62D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44A"/>
    <w:multiLevelType w:val="hybridMultilevel"/>
    <w:tmpl w:val="68168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984"/>
    <w:multiLevelType w:val="hybridMultilevel"/>
    <w:tmpl w:val="361C1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224DE"/>
    <w:multiLevelType w:val="hybridMultilevel"/>
    <w:tmpl w:val="020CD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A62A3"/>
    <w:multiLevelType w:val="hybridMultilevel"/>
    <w:tmpl w:val="BED47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5F14"/>
    <w:multiLevelType w:val="hybridMultilevel"/>
    <w:tmpl w:val="A7D2C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A76"/>
    <w:multiLevelType w:val="hybridMultilevel"/>
    <w:tmpl w:val="42A2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23D2A"/>
    <w:multiLevelType w:val="hybridMultilevel"/>
    <w:tmpl w:val="57BAE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092655"/>
    <w:multiLevelType w:val="hybridMultilevel"/>
    <w:tmpl w:val="C5D8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27C9"/>
    <w:multiLevelType w:val="hybridMultilevel"/>
    <w:tmpl w:val="31B6867C"/>
    <w:lvl w:ilvl="0" w:tplc="DB748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DD25A1C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MS Mincho" w:hAnsi="Arial" w:cs="Arial"/>
      </w:rPr>
    </w:lvl>
    <w:lvl w:ilvl="3" w:tplc="D108A32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Arial" w:eastAsia="MS Mincho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B44806"/>
    <w:multiLevelType w:val="hybridMultilevel"/>
    <w:tmpl w:val="85A8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483"/>
    <w:multiLevelType w:val="hybridMultilevel"/>
    <w:tmpl w:val="626C392C"/>
    <w:lvl w:ilvl="0" w:tplc="08FC1C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236959"/>
    <w:multiLevelType w:val="hybridMultilevel"/>
    <w:tmpl w:val="7E7E1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0BA9"/>
    <w:multiLevelType w:val="hybridMultilevel"/>
    <w:tmpl w:val="2CBC79BA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70"/>
    <w:multiLevelType w:val="hybridMultilevel"/>
    <w:tmpl w:val="3ADC96AC"/>
    <w:lvl w:ilvl="0" w:tplc="B72C94B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81FDF"/>
    <w:multiLevelType w:val="hybridMultilevel"/>
    <w:tmpl w:val="4762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84080"/>
    <w:multiLevelType w:val="hybridMultilevel"/>
    <w:tmpl w:val="7E70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38680C"/>
    <w:multiLevelType w:val="hybridMultilevel"/>
    <w:tmpl w:val="AAD08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8F7848"/>
    <w:multiLevelType w:val="hybridMultilevel"/>
    <w:tmpl w:val="7026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7F334B"/>
    <w:multiLevelType w:val="hybridMultilevel"/>
    <w:tmpl w:val="7C24F908"/>
    <w:lvl w:ilvl="0" w:tplc="F2124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9157A60"/>
    <w:multiLevelType w:val="hybridMultilevel"/>
    <w:tmpl w:val="F0E8B808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13A6"/>
    <w:multiLevelType w:val="hybridMultilevel"/>
    <w:tmpl w:val="03CA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0"/>
  </w:num>
  <w:num w:numId="5">
    <w:abstractNumId w:val="18"/>
  </w:num>
  <w:num w:numId="6">
    <w:abstractNumId w:val="22"/>
  </w:num>
  <w:num w:numId="7">
    <w:abstractNumId w:val="6"/>
  </w:num>
  <w:num w:numId="8">
    <w:abstractNumId w:val="11"/>
  </w:num>
  <w:num w:numId="9">
    <w:abstractNumId w:val="13"/>
  </w:num>
  <w:num w:numId="10">
    <w:abstractNumId w:val="27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23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0"/>
  </w:num>
  <w:num w:numId="21">
    <w:abstractNumId w:val="24"/>
  </w:num>
  <w:num w:numId="22">
    <w:abstractNumId w:val="9"/>
  </w:num>
  <w:num w:numId="23">
    <w:abstractNumId w:val="1"/>
  </w:num>
  <w:num w:numId="24">
    <w:abstractNumId w:val="3"/>
  </w:num>
  <w:num w:numId="25">
    <w:abstractNumId w:val="17"/>
  </w:num>
  <w:num w:numId="26">
    <w:abstractNumId w:val="28"/>
  </w:num>
  <w:num w:numId="27">
    <w:abstractNumId w:val="26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42"/>
    <w:rsid w:val="00004EA6"/>
    <w:rsid w:val="00012949"/>
    <w:rsid w:val="000213CC"/>
    <w:rsid w:val="0005662D"/>
    <w:rsid w:val="00060D78"/>
    <w:rsid w:val="00061BDF"/>
    <w:rsid w:val="00063694"/>
    <w:rsid w:val="00064AD1"/>
    <w:rsid w:val="00086FBE"/>
    <w:rsid w:val="00093092"/>
    <w:rsid w:val="000A183F"/>
    <w:rsid w:val="000A6B50"/>
    <w:rsid w:val="000C11B1"/>
    <w:rsid w:val="000C6CBA"/>
    <w:rsid w:val="000D4AD0"/>
    <w:rsid w:val="00104D63"/>
    <w:rsid w:val="00124E07"/>
    <w:rsid w:val="00130C9D"/>
    <w:rsid w:val="0013618F"/>
    <w:rsid w:val="00157A15"/>
    <w:rsid w:val="00165ADD"/>
    <w:rsid w:val="00166691"/>
    <w:rsid w:val="001C5BDD"/>
    <w:rsid w:val="001D3A7D"/>
    <w:rsid w:val="001D4100"/>
    <w:rsid w:val="001D66F4"/>
    <w:rsid w:val="001E0831"/>
    <w:rsid w:val="002105F3"/>
    <w:rsid w:val="00234AB9"/>
    <w:rsid w:val="00240463"/>
    <w:rsid w:val="00244EDF"/>
    <w:rsid w:val="00266605"/>
    <w:rsid w:val="00267E26"/>
    <w:rsid w:val="00281BC7"/>
    <w:rsid w:val="002C6605"/>
    <w:rsid w:val="00301F16"/>
    <w:rsid w:val="00307908"/>
    <w:rsid w:val="00317CAC"/>
    <w:rsid w:val="003363F0"/>
    <w:rsid w:val="00360F1F"/>
    <w:rsid w:val="00361D58"/>
    <w:rsid w:val="003A27F1"/>
    <w:rsid w:val="003A56BA"/>
    <w:rsid w:val="003B2082"/>
    <w:rsid w:val="003B49AF"/>
    <w:rsid w:val="003C0AED"/>
    <w:rsid w:val="003C787D"/>
    <w:rsid w:val="003F18F5"/>
    <w:rsid w:val="00402D8F"/>
    <w:rsid w:val="00414A25"/>
    <w:rsid w:val="00415176"/>
    <w:rsid w:val="004635F0"/>
    <w:rsid w:val="0047116A"/>
    <w:rsid w:val="004723AD"/>
    <w:rsid w:val="0049014E"/>
    <w:rsid w:val="00493791"/>
    <w:rsid w:val="0049612C"/>
    <w:rsid w:val="004A1E38"/>
    <w:rsid w:val="004C2643"/>
    <w:rsid w:val="004C3812"/>
    <w:rsid w:val="004C7646"/>
    <w:rsid w:val="004E14DA"/>
    <w:rsid w:val="00501567"/>
    <w:rsid w:val="00503596"/>
    <w:rsid w:val="00510F92"/>
    <w:rsid w:val="00526C79"/>
    <w:rsid w:val="00543073"/>
    <w:rsid w:val="005430CF"/>
    <w:rsid w:val="005670A7"/>
    <w:rsid w:val="00573757"/>
    <w:rsid w:val="0058090D"/>
    <w:rsid w:val="00580A9F"/>
    <w:rsid w:val="005B404B"/>
    <w:rsid w:val="005C7E10"/>
    <w:rsid w:val="005F49FA"/>
    <w:rsid w:val="00610AB8"/>
    <w:rsid w:val="006821D0"/>
    <w:rsid w:val="00687294"/>
    <w:rsid w:val="006879A9"/>
    <w:rsid w:val="006A65AF"/>
    <w:rsid w:val="006B0F22"/>
    <w:rsid w:val="006B1493"/>
    <w:rsid w:val="006E710F"/>
    <w:rsid w:val="00717EDE"/>
    <w:rsid w:val="0072593B"/>
    <w:rsid w:val="007412BF"/>
    <w:rsid w:val="00741A63"/>
    <w:rsid w:val="00742F23"/>
    <w:rsid w:val="007613C6"/>
    <w:rsid w:val="00775A00"/>
    <w:rsid w:val="00777811"/>
    <w:rsid w:val="007B5AE7"/>
    <w:rsid w:val="00803987"/>
    <w:rsid w:val="00807BB3"/>
    <w:rsid w:val="00832D42"/>
    <w:rsid w:val="00837480"/>
    <w:rsid w:val="008433A9"/>
    <w:rsid w:val="008536E7"/>
    <w:rsid w:val="0086266E"/>
    <w:rsid w:val="00870842"/>
    <w:rsid w:val="00891E8D"/>
    <w:rsid w:val="008979D8"/>
    <w:rsid w:val="008C6068"/>
    <w:rsid w:val="008D5A34"/>
    <w:rsid w:val="008E28C6"/>
    <w:rsid w:val="008F4244"/>
    <w:rsid w:val="00914641"/>
    <w:rsid w:val="00914D70"/>
    <w:rsid w:val="00917C85"/>
    <w:rsid w:val="00927579"/>
    <w:rsid w:val="00940B3E"/>
    <w:rsid w:val="0094102D"/>
    <w:rsid w:val="00947304"/>
    <w:rsid w:val="00951211"/>
    <w:rsid w:val="009A2769"/>
    <w:rsid w:val="009D0EA3"/>
    <w:rsid w:val="009D4BCB"/>
    <w:rsid w:val="009E37B1"/>
    <w:rsid w:val="00A01DFA"/>
    <w:rsid w:val="00A039E9"/>
    <w:rsid w:val="00A14E2D"/>
    <w:rsid w:val="00A24E88"/>
    <w:rsid w:val="00A41101"/>
    <w:rsid w:val="00A43F84"/>
    <w:rsid w:val="00A6629E"/>
    <w:rsid w:val="00A7119A"/>
    <w:rsid w:val="00A732BC"/>
    <w:rsid w:val="00A74914"/>
    <w:rsid w:val="00A93482"/>
    <w:rsid w:val="00AA1373"/>
    <w:rsid w:val="00AC4211"/>
    <w:rsid w:val="00AD2D4C"/>
    <w:rsid w:val="00B01052"/>
    <w:rsid w:val="00B418CD"/>
    <w:rsid w:val="00B44E94"/>
    <w:rsid w:val="00B51165"/>
    <w:rsid w:val="00B74936"/>
    <w:rsid w:val="00B9362A"/>
    <w:rsid w:val="00BA216C"/>
    <w:rsid w:val="00BB1539"/>
    <w:rsid w:val="00BB3657"/>
    <w:rsid w:val="00BB4790"/>
    <w:rsid w:val="00BC0E97"/>
    <w:rsid w:val="00BC7815"/>
    <w:rsid w:val="00C0419A"/>
    <w:rsid w:val="00C23E53"/>
    <w:rsid w:val="00C329AD"/>
    <w:rsid w:val="00C33709"/>
    <w:rsid w:val="00C8154E"/>
    <w:rsid w:val="00C90F43"/>
    <w:rsid w:val="00CA52BB"/>
    <w:rsid w:val="00CA5998"/>
    <w:rsid w:val="00CB2153"/>
    <w:rsid w:val="00CC2E70"/>
    <w:rsid w:val="00CD1A80"/>
    <w:rsid w:val="00CE74EC"/>
    <w:rsid w:val="00CF512C"/>
    <w:rsid w:val="00CF5F91"/>
    <w:rsid w:val="00D13DCB"/>
    <w:rsid w:val="00D21AB4"/>
    <w:rsid w:val="00D3307D"/>
    <w:rsid w:val="00D37476"/>
    <w:rsid w:val="00D406BF"/>
    <w:rsid w:val="00D448EF"/>
    <w:rsid w:val="00D52141"/>
    <w:rsid w:val="00D56260"/>
    <w:rsid w:val="00D80E2F"/>
    <w:rsid w:val="00D835AD"/>
    <w:rsid w:val="00D95787"/>
    <w:rsid w:val="00DC6F4A"/>
    <w:rsid w:val="00DE6571"/>
    <w:rsid w:val="00DE65BF"/>
    <w:rsid w:val="00E056EC"/>
    <w:rsid w:val="00E377DC"/>
    <w:rsid w:val="00E53410"/>
    <w:rsid w:val="00E72465"/>
    <w:rsid w:val="00E96772"/>
    <w:rsid w:val="00EB378B"/>
    <w:rsid w:val="00EC39D8"/>
    <w:rsid w:val="00EC738A"/>
    <w:rsid w:val="00ED73CF"/>
    <w:rsid w:val="00EE32CD"/>
    <w:rsid w:val="00EF0281"/>
    <w:rsid w:val="00F04319"/>
    <w:rsid w:val="00F13A01"/>
    <w:rsid w:val="00F321F0"/>
    <w:rsid w:val="00F32EEE"/>
    <w:rsid w:val="00F55F05"/>
    <w:rsid w:val="00F730DE"/>
    <w:rsid w:val="00F844E5"/>
    <w:rsid w:val="00FB1C0B"/>
    <w:rsid w:val="00FE6DA9"/>
    <w:rsid w:val="00FF39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7748C4"/>
  <w15:docId w15:val="{BE043633-6169-4896-A400-9A00953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2D42"/>
    <w:pPr>
      <w:ind w:left="720"/>
      <w:contextualSpacing/>
    </w:pPr>
  </w:style>
  <w:style w:type="paragraph" w:styleId="NormalWeb">
    <w:name w:val="Normal (Web)"/>
    <w:basedOn w:val="Normal"/>
    <w:rsid w:val="0083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1D0"/>
    <w:rPr>
      <w:color w:val="0000FF" w:themeColor="hyperlink"/>
      <w:u w:val="single"/>
    </w:rPr>
  </w:style>
  <w:style w:type="table" w:styleId="TableGrid">
    <w:name w:val="Table Grid"/>
    <w:basedOn w:val="TableNormal"/>
    <w:rsid w:val="00D80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0E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2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D5A34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A34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EA174A0DC488888342E981C20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3064-720F-4202-9F74-A260F83111CD}"/>
      </w:docPartPr>
      <w:docPartBody>
        <w:p w:rsidR="009366B8" w:rsidRDefault="00CC34E0" w:rsidP="00CC34E0">
          <w:pPr>
            <w:pStyle w:val="27DEA174A0DC488888342E981C20E895"/>
          </w:pPr>
          <w:r w:rsidRPr="003A5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E0"/>
    <w:rsid w:val="00052523"/>
    <w:rsid w:val="00190163"/>
    <w:rsid w:val="001A639B"/>
    <w:rsid w:val="001F40AE"/>
    <w:rsid w:val="005738F8"/>
    <w:rsid w:val="0060606C"/>
    <w:rsid w:val="0064071A"/>
    <w:rsid w:val="007B6589"/>
    <w:rsid w:val="007E48CC"/>
    <w:rsid w:val="008240DB"/>
    <w:rsid w:val="00866F21"/>
    <w:rsid w:val="008D742E"/>
    <w:rsid w:val="00915D46"/>
    <w:rsid w:val="009366B8"/>
    <w:rsid w:val="00A65CDC"/>
    <w:rsid w:val="00B33471"/>
    <w:rsid w:val="00BA3ED8"/>
    <w:rsid w:val="00C81925"/>
    <w:rsid w:val="00CC34E0"/>
    <w:rsid w:val="00D50F91"/>
    <w:rsid w:val="00DA07DF"/>
    <w:rsid w:val="00DF1CF6"/>
    <w:rsid w:val="00EB6144"/>
    <w:rsid w:val="00F33C77"/>
    <w:rsid w:val="00F609C4"/>
    <w:rsid w:val="00F62890"/>
    <w:rsid w:val="00F67210"/>
    <w:rsid w:val="00FC004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E0"/>
    <w:rPr>
      <w:color w:val="808080"/>
    </w:rPr>
  </w:style>
  <w:style w:type="paragraph" w:customStyle="1" w:styleId="27DEA174A0DC488888342E981C20E895">
    <w:name w:val="27DEA174A0DC488888342E981C20E895"/>
    <w:rsid w:val="00CC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164691913945bbb568011e3c91a2c7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55bdc912-87e3-413f-a67c-29a7cb8dc090</TermId>
        </TermInfo>
      </Terms>
    </o9164691913945bbb568011e3c91a2c7>
    <Document_x0020_status xmlns="950e9dd1-f063-43f8-9abe-cbacba892cb9">Final</Document_x0020_status>
    <RoutingRuleDescription xmlns="http://schemas.microsoft.com/sharepoint/v3" xsi:nil="true"/>
    <TaxKeywordTaxHTField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</TermName>
          <TermId xmlns="http://schemas.microsoft.com/office/infopath/2007/PartnerControls">4e269811-fa89-45a6-a065-9f537963f5ac</TermId>
        </TermInfo>
        <TermInfo xmlns="http://schemas.microsoft.com/office/infopath/2007/PartnerControls">
          <TermName xmlns="http://schemas.microsoft.com/office/infopath/2007/PartnerControls">twitter</TermName>
          <TermId xmlns="http://schemas.microsoft.com/office/infopath/2007/PartnerControls">6de7a590-d927-4363-b57f-141c3ee4542c</TermId>
        </TermInfo>
        <TermInfo xmlns="http://schemas.microsoft.com/office/infopath/2007/PartnerControls">
          <TermName xmlns="http://schemas.microsoft.com/office/infopath/2007/PartnerControls">facebook</TermName>
          <TermId xmlns="http://schemas.microsoft.com/office/infopath/2007/PartnerControls">3f271e50-3bf7-4fbb-a3b3-f6c5913e4844</TermId>
        </TermInfo>
        <TermInfo xmlns="http://schemas.microsoft.com/office/infopath/2007/PartnerControls">
          <TermName xmlns="http://schemas.microsoft.com/office/infopath/2007/PartnerControls">linkedin</TermName>
          <TermId xmlns="http://schemas.microsoft.com/office/infopath/2007/PartnerControls">1da187df-84c3-4ecd-bc49-a3b88e81e3ab</TermId>
        </TermInfo>
        <TermInfo xmlns="http://schemas.microsoft.com/office/infopath/2007/PartnerControls">
          <TermName xmlns="http://schemas.microsoft.com/office/infopath/2007/PartnerControls">youtube</TermName>
          <TermId xmlns="http://schemas.microsoft.com/office/infopath/2007/PartnerControls">107b5e77-059f-467f-a049-100d887dc3a9</TermId>
        </TermInfo>
      </Terms>
    </TaxKeywordTaxHTField>
    <Policy_x0020_number xmlns="b5920691-a1ab-41de-bec0-f6807511a3cd">EA04</Policy_x0020_number>
    <TaxCatchAll xmlns="950e9dd1-f063-43f8-9abe-cbacba892cb9">
      <Value>1636</Value>
      <Value>1635</Value>
      <Value>1634</Value>
      <Value>940</Value>
      <Value>939</Value>
      <Value>70</Value>
    </TaxCatchAll>
    <_dlc_DocId xmlns="950e9dd1-f063-43f8-9abe-cbacba892cb9">FCCU2H3R7MWZ-75-365</_dlc_DocId>
    <_dlc_DocIdUrl xmlns="950e9dd1-f063-43f8-9abe-cbacba892cb9">
      <Url>http://myport.tac.port/ResourceCenter/_layouts/DocIdRedir.aspx?ID=FCCU2H3R7MWZ-75-365</Url>
      <Description>FCCU2H3R7MWZ-75-365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rt Policy Document" ma:contentTypeID="0x01010095AAE1154E437C4FB2D932792DED4033020007CDCE7C69A70941A96F49CD5ED18676" ma:contentTypeVersion="24" ma:contentTypeDescription="Use this template for new Port policy documents." ma:contentTypeScope="" ma:versionID="593e9b1e3f5e0c9bd2572c9a35563983">
  <xsd:schema xmlns:xsd="http://www.w3.org/2001/XMLSchema" xmlns:xs="http://www.w3.org/2001/XMLSchema" xmlns:p="http://schemas.microsoft.com/office/2006/metadata/properties" xmlns:ns1="http://schemas.microsoft.com/sharepoint/v3" xmlns:ns2="950e9dd1-f063-43f8-9abe-cbacba892cb9" xmlns:ns3="b5920691-a1ab-41de-bec0-f6807511a3cd" targetNamespace="http://schemas.microsoft.com/office/2006/metadata/properties" ma:root="true" ma:fieldsID="26390722117e6bb320d54cb4b4b5cb91" ns1:_="" ns2:_="" ns3:_="">
    <xsd:import namespace="http://schemas.microsoft.com/sharepoint/v3"/>
    <xsd:import namespace="950e9dd1-f063-43f8-9abe-cbacba892cb9"/>
    <xsd:import namespace="b5920691-a1ab-41de-bec0-f6807511a3c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2:o9164691913945bbb568011e3c91a2c7" minOccurs="0"/>
                <xsd:element ref="ns3:Policy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dd1-f063-43f8-9abe-cbacba892cb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nillable="true" ma:displayName="Document Status" ma:default="Final" ma:description="Provide status of document to aid in records management." ma:format="Dropdown" ma:internalName="Document_x0020_status" ma:readOnly="false">
      <xsd:simpleType>
        <xsd:restriction base="dms:Choice">
          <xsd:enumeration value="Draft"/>
          <xsd:enumeration value="Final"/>
          <xsd:enumeration value="For review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c373a15-6a0b-40e6-a08a-d16701af38ac}" ma:internalName="TaxCatchAll" ma:showField="CatchAllData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c373a15-6a0b-40e6-a08a-d16701af38ac}" ma:internalName="TaxCatchAllLabel" ma:readOnly="true" ma:showField="CatchAllDataLabel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9164691913945bbb568011e3c91a2c7" ma:index="15" nillable="true" ma:taxonomy="true" ma:internalName="o9164691913945bbb568011e3c91a2c7" ma:taxonomyFieldName="Dept" ma:displayName="Port Department" ma:default="" ma:fieldId="{89164691-9139-45bb-b568-011e3c91a2c7}" ma:sspId="aa8ab812-c6d3-445a-a8ae-284a56e0056e" ma:termSetId="919f654f-615d-4285-b5da-159ebc365c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691-a1ab-41de-bec0-f6807511a3c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9" ma:displayName="Policy number" ma:description="Enter the number of the Port Policy." ma:internalName="Policy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3FF-B6A8-4ECD-A65C-D1765A15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2ED99-1F9B-4F2C-BFF0-0F68FE4E85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C8E595-1189-45ED-BC46-627A8CD8E6C7}">
  <ds:schemaRefs>
    <ds:schemaRef ds:uri="950e9dd1-f063-43f8-9abe-cbacba892cb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5920691-a1ab-41de-bec0-f6807511a3c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C4AEBC-722E-4847-AD13-33337096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e9dd1-f063-43f8-9abe-cbacba892cb9"/>
    <ds:schemaRef ds:uri="b5920691-a1ab-41de-bec0-f6807511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6CCB59-18E4-4588-AE96-7B23D4D8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keywords>youtube; facebook; twitter; Blog; linkedin</cp:keywords>
  <cp:lastModifiedBy>Kelli Hodges</cp:lastModifiedBy>
  <cp:revision>5</cp:revision>
  <cp:lastPrinted>2022-03-15T19:07:00Z</cp:lastPrinted>
  <dcterms:created xsi:type="dcterms:W3CDTF">2019-02-25T19:51:00Z</dcterms:created>
  <dcterms:modified xsi:type="dcterms:W3CDTF">2022-03-21T16:03:00Z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0x01010095AAE1154E437C4FB2D932792DED4033020007CDCE7C69A70941A96F49CD5ED18676</vt:lpwstr>
  </property>
  <property fmtid="{D5CDD505-2E9C-101B-9397-08002B2CF9AE}" pid="3" name="_dlc_DocIdItemGuid">
    <vt:lpwstr>2f911980-61ca-41af-918e-067e855e5e71</vt:lpwstr>
  </property>
  <property fmtid="{D5CDD505-2E9C-101B-9397-08002B2CF9AE}" pid="4" name="TaxKeyword">
    <vt:lpwstr>1634;#Blog|4e269811-fa89-45a6-a065-9f537963f5ac;#939;#twitter|6de7a590-d927-4363-b57f-141c3ee4542c;#940;#facebook|3f271e50-3bf7-4fbb-a3b3-f6c5913e4844;#1635;#linkedin|1da187df-84c3-4ecd-bc49-a3b88e81e3ab;#1636;#youtube|107b5e77-059f-467f-a049-100d887dc3a9</vt:lpwstr>
  </property>
  <property fmtid="{D5CDD505-2E9C-101B-9397-08002B2CF9AE}" pid="5" name="Dept">
    <vt:lpwstr>70;#External Affairs|55bdc912-87e3-413f-a67c-29a7cb8dc090</vt:lpwstr>
  </property>
</Properties>
</file>