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D410" w14:textId="77777777" w:rsidR="00C0419A" w:rsidRDefault="00C0419A" w:rsidP="00C0419A">
      <w:pPr>
        <w:jc w:val="center"/>
      </w:pPr>
      <w:r>
        <w:rPr>
          <w:noProof/>
        </w:rPr>
        <w:drawing>
          <wp:inline distT="0" distB="0" distL="0" distR="0" wp14:anchorId="7ACBB668" wp14:editId="7421BCE6">
            <wp:extent cx="4195281" cy="3200400"/>
            <wp:effectExtent l="19050" t="0" r="0" b="0"/>
            <wp:docPr id="5" name="Picture 4" descr="logo_port_color.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_color.tiff.tif"/>
                    <pic:cNvPicPr/>
                  </pic:nvPicPr>
                  <pic:blipFill>
                    <a:blip r:embed="rId12" cstate="print"/>
                    <a:stretch>
                      <a:fillRect/>
                    </a:stretch>
                  </pic:blipFill>
                  <pic:spPr>
                    <a:xfrm>
                      <a:off x="0" y="0"/>
                      <a:ext cx="4195281" cy="3200400"/>
                    </a:xfrm>
                    <a:prstGeom prst="rect">
                      <a:avLst/>
                    </a:prstGeom>
                  </pic:spPr>
                </pic:pic>
              </a:graphicData>
            </a:graphic>
          </wp:inline>
        </w:drawing>
      </w:r>
    </w:p>
    <w:p w14:paraId="74391DBC" w14:textId="77777777" w:rsidR="00C0419A" w:rsidRDefault="00C0419A"/>
    <w:p w14:paraId="4E36B0C7" w14:textId="77777777" w:rsidR="00C0419A" w:rsidRDefault="00C0419A"/>
    <w:p w14:paraId="2328A952" w14:textId="77777777" w:rsidR="00C0419A" w:rsidRPr="00C0419A" w:rsidRDefault="001D66F4" w:rsidP="00C0419A">
      <w:pPr>
        <w:jc w:val="center"/>
        <w:rPr>
          <w:sz w:val="56"/>
          <w:szCs w:val="56"/>
        </w:rPr>
      </w:pPr>
      <w:r>
        <w:rPr>
          <w:sz w:val="56"/>
          <w:szCs w:val="56"/>
        </w:rPr>
        <w:t>Hot Berthing</w:t>
      </w:r>
      <w:r w:rsidR="00D448EF">
        <w:rPr>
          <w:sz w:val="56"/>
          <w:szCs w:val="56"/>
        </w:rPr>
        <w:t xml:space="preserve"> </w:t>
      </w:r>
      <w:r w:rsidR="005F49FA">
        <w:rPr>
          <w:sz w:val="56"/>
          <w:szCs w:val="56"/>
        </w:rPr>
        <w:t>Policy</w:t>
      </w:r>
    </w:p>
    <w:p w14:paraId="69F47F43" w14:textId="77777777" w:rsidR="00C0419A" w:rsidRDefault="00C0419A" w:rsidP="00C0419A">
      <w:pPr>
        <w:jc w:val="center"/>
        <w:rPr>
          <w:sz w:val="36"/>
          <w:szCs w:val="36"/>
        </w:rPr>
      </w:pPr>
    </w:p>
    <w:p w14:paraId="63C30A53" w14:textId="77777777" w:rsidR="00C0419A" w:rsidRDefault="00C0419A" w:rsidP="00C0419A">
      <w:pPr>
        <w:jc w:val="center"/>
        <w:rPr>
          <w:sz w:val="36"/>
          <w:szCs w:val="36"/>
        </w:rPr>
      </w:pPr>
    </w:p>
    <w:p w14:paraId="740F78F5" w14:textId="10A047CB" w:rsidR="006C2F82" w:rsidRDefault="006C2F82" w:rsidP="00C0419A">
      <w:pPr>
        <w:jc w:val="center"/>
        <w:rPr>
          <w:sz w:val="36"/>
          <w:szCs w:val="36"/>
        </w:rPr>
      </w:pPr>
    </w:p>
    <w:p w14:paraId="6FEEE2BA" w14:textId="77777777" w:rsidR="006C2F82" w:rsidRDefault="006C2F82" w:rsidP="00C0419A">
      <w:pPr>
        <w:jc w:val="center"/>
        <w:rPr>
          <w:sz w:val="36"/>
          <w:szCs w:val="36"/>
        </w:rPr>
      </w:pPr>
    </w:p>
    <w:p w14:paraId="6D9402E6" w14:textId="77777777" w:rsidR="00C0419A" w:rsidRDefault="00C0419A" w:rsidP="00C0419A">
      <w:pPr>
        <w:spacing w:after="0"/>
        <w:rPr>
          <w:sz w:val="24"/>
          <w:szCs w:val="24"/>
        </w:rPr>
      </w:pPr>
      <w:r>
        <w:rPr>
          <w:sz w:val="24"/>
          <w:szCs w:val="24"/>
        </w:rPr>
        <w:t>PORT OF POULSBO</w:t>
      </w:r>
    </w:p>
    <w:p w14:paraId="62401C67" w14:textId="77777777" w:rsidR="00C0419A" w:rsidRDefault="00610AB8" w:rsidP="00C0419A">
      <w:pPr>
        <w:spacing w:after="0"/>
        <w:rPr>
          <w:sz w:val="24"/>
          <w:szCs w:val="24"/>
        </w:rPr>
      </w:pPr>
      <w:r>
        <w:rPr>
          <w:sz w:val="24"/>
          <w:szCs w:val="24"/>
        </w:rPr>
        <w:t xml:space="preserve">Draft: </w:t>
      </w:r>
      <w:r w:rsidR="00B9362A">
        <w:rPr>
          <w:sz w:val="24"/>
          <w:szCs w:val="24"/>
        </w:rPr>
        <w:t>June 12</w:t>
      </w:r>
      <w:r w:rsidR="00C0419A">
        <w:rPr>
          <w:sz w:val="24"/>
          <w:szCs w:val="24"/>
        </w:rPr>
        <w:t>, 2013</w:t>
      </w:r>
    </w:p>
    <w:p w14:paraId="508E7628" w14:textId="77777777" w:rsidR="00C0419A" w:rsidRDefault="00C0419A" w:rsidP="00C0419A">
      <w:pPr>
        <w:spacing w:after="0"/>
        <w:rPr>
          <w:sz w:val="24"/>
          <w:szCs w:val="24"/>
        </w:rPr>
      </w:pPr>
      <w:r>
        <w:rPr>
          <w:sz w:val="24"/>
          <w:szCs w:val="24"/>
        </w:rPr>
        <w:t>E</w:t>
      </w:r>
      <w:r w:rsidR="00610AB8">
        <w:rPr>
          <w:sz w:val="24"/>
          <w:szCs w:val="24"/>
        </w:rPr>
        <w:t>xecutive Approval:</w:t>
      </w:r>
      <w:r w:rsidR="004C3812">
        <w:rPr>
          <w:sz w:val="24"/>
          <w:szCs w:val="24"/>
        </w:rPr>
        <w:t xml:space="preserve">  June 20, 2013</w:t>
      </w:r>
    </w:p>
    <w:p w14:paraId="0457B51A" w14:textId="77777777" w:rsidR="00C0419A" w:rsidRDefault="00C0419A" w:rsidP="00C0419A">
      <w:pPr>
        <w:spacing w:after="0"/>
        <w:rPr>
          <w:sz w:val="24"/>
          <w:szCs w:val="24"/>
        </w:rPr>
      </w:pPr>
      <w:r>
        <w:rPr>
          <w:sz w:val="24"/>
          <w:szCs w:val="24"/>
        </w:rPr>
        <w:t>Com</w:t>
      </w:r>
      <w:r w:rsidR="004C3812">
        <w:rPr>
          <w:sz w:val="24"/>
          <w:szCs w:val="24"/>
        </w:rPr>
        <w:t>mission Adoption:  June 20, 2013</w:t>
      </w:r>
    </w:p>
    <w:p w14:paraId="33CB4E62" w14:textId="1A1C35E4" w:rsidR="00C0419A" w:rsidRDefault="00610AB8" w:rsidP="00C0419A">
      <w:pPr>
        <w:spacing w:after="0"/>
        <w:rPr>
          <w:sz w:val="24"/>
          <w:szCs w:val="24"/>
        </w:rPr>
      </w:pPr>
      <w:r>
        <w:rPr>
          <w:sz w:val="24"/>
          <w:szCs w:val="24"/>
        </w:rPr>
        <w:t>Revised:</w:t>
      </w:r>
      <w:r w:rsidR="007E47AA">
        <w:rPr>
          <w:sz w:val="24"/>
          <w:szCs w:val="24"/>
        </w:rPr>
        <w:t xml:space="preserve">  </w:t>
      </w:r>
      <w:r w:rsidR="006C2F82">
        <w:rPr>
          <w:sz w:val="24"/>
          <w:szCs w:val="24"/>
        </w:rPr>
        <w:t>December 2, 2021</w:t>
      </w:r>
    </w:p>
    <w:p w14:paraId="198AD853" w14:textId="42C3FF53" w:rsidR="00C0419A" w:rsidRDefault="00C0419A" w:rsidP="00C0419A">
      <w:pPr>
        <w:spacing w:after="0"/>
        <w:rPr>
          <w:sz w:val="24"/>
          <w:szCs w:val="24"/>
        </w:rPr>
      </w:pPr>
      <w:r>
        <w:rPr>
          <w:sz w:val="24"/>
          <w:szCs w:val="24"/>
        </w:rPr>
        <w:t>Review Date</w:t>
      </w:r>
      <w:r w:rsidR="00610AB8">
        <w:rPr>
          <w:sz w:val="24"/>
          <w:szCs w:val="24"/>
        </w:rPr>
        <w:t>:</w:t>
      </w:r>
      <w:r w:rsidR="004C3812">
        <w:rPr>
          <w:sz w:val="24"/>
          <w:szCs w:val="24"/>
        </w:rPr>
        <w:t xml:space="preserve">  </w:t>
      </w:r>
      <w:r w:rsidR="006C2F82">
        <w:rPr>
          <w:sz w:val="24"/>
          <w:szCs w:val="24"/>
        </w:rPr>
        <w:t>Dec</w:t>
      </w:r>
      <w:r w:rsidR="00FA30D2">
        <w:rPr>
          <w:sz w:val="24"/>
          <w:szCs w:val="24"/>
        </w:rPr>
        <w:t>ember</w:t>
      </w:r>
      <w:r w:rsidR="007E47AA">
        <w:rPr>
          <w:sz w:val="24"/>
          <w:szCs w:val="24"/>
        </w:rPr>
        <w:t xml:space="preserve"> </w:t>
      </w:r>
      <w:r w:rsidR="00FA30D2">
        <w:rPr>
          <w:sz w:val="24"/>
          <w:szCs w:val="24"/>
        </w:rPr>
        <w:t>2</w:t>
      </w:r>
      <w:r w:rsidR="007E47AA">
        <w:rPr>
          <w:sz w:val="24"/>
          <w:szCs w:val="24"/>
        </w:rPr>
        <w:t>, 20</w:t>
      </w:r>
      <w:r w:rsidR="006C2F82">
        <w:rPr>
          <w:sz w:val="24"/>
          <w:szCs w:val="24"/>
        </w:rPr>
        <w:t>24</w:t>
      </w:r>
    </w:p>
    <w:p w14:paraId="0F5753DB" w14:textId="7426D875" w:rsidR="00CF584C" w:rsidRPr="00CF584C" w:rsidRDefault="00CF584C" w:rsidP="00C0419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D80E2F" w14:paraId="7B88FC02" w14:textId="77777777" w:rsidTr="00D37476">
        <w:tc>
          <w:tcPr>
            <w:tcW w:w="5598" w:type="dxa"/>
            <w:tcBorders>
              <w:bottom w:val="single" w:sz="24" w:space="0" w:color="auto"/>
            </w:tcBorders>
          </w:tcPr>
          <w:sdt>
            <w:sdtPr>
              <w:rPr>
                <w:rFonts w:ascii="Arial" w:hAnsi="Arial" w:cs="Arial"/>
                <w:sz w:val="36"/>
                <w:szCs w:val="36"/>
              </w:rPr>
              <w:id w:val="279234071"/>
              <w:placeholder>
                <w:docPart w:val="27DEA174A0DC488888342E981C20E895"/>
              </w:placeholder>
            </w:sdtPr>
            <w:sdtEndPr/>
            <w:sdtContent>
              <w:p w14:paraId="7E99B001" w14:textId="77777777" w:rsidR="00D80E2F" w:rsidRDefault="003A56BA" w:rsidP="00D37476">
                <w:pPr>
                  <w:pStyle w:val="Header"/>
                  <w:tabs>
                    <w:tab w:val="left" w:pos="1578"/>
                  </w:tabs>
                  <w:rPr>
                    <w:rFonts w:ascii="Arial" w:hAnsi="Arial" w:cs="Arial"/>
                    <w:sz w:val="36"/>
                    <w:szCs w:val="36"/>
                  </w:rPr>
                </w:pPr>
                <w:r>
                  <w:rPr>
                    <w:rFonts w:ascii="Arial" w:hAnsi="Arial" w:cs="Arial"/>
                    <w:sz w:val="36"/>
                    <w:szCs w:val="36"/>
                  </w:rPr>
                  <w:t>Hot Berthing</w:t>
                </w:r>
                <w:r w:rsidR="00807BB3">
                  <w:rPr>
                    <w:rFonts w:ascii="Arial" w:hAnsi="Arial" w:cs="Arial"/>
                    <w:sz w:val="36"/>
                    <w:szCs w:val="36"/>
                  </w:rPr>
                  <w:t xml:space="preserve"> Policy</w:t>
                </w:r>
              </w:p>
            </w:sdtContent>
          </w:sdt>
          <w:p w14:paraId="69021DFB" w14:textId="77777777" w:rsidR="00D80E2F" w:rsidRDefault="00D80E2F" w:rsidP="00D37476">
            <w:pPr>
              <w:pStyle w:val="Header"/>
              <w:tabs>
                <w:tab w:val="left" w:pos="1578"/>
              </w:tabs>
              <w:rPr>
                <w:rFonts w:ascii="Arial" w:hAnsi="Arial" w:cs="Arial"/>
                <w:sz w:val="28"/>
                <w:szCs w:val="28"/>
              </w:rPr>
            </w:pPr>
          </w:p>
          <w:p w14:paraId="11451DB3" w14:textId="77777777" w:rsidR="00415176" w:rsidRDefault="00415176" w:rsidP="00D37476">
            <w:pPr>
              <w:pStyle w:val="Header"/>
              <w:tabs>
                <w:tab w:val="left" w:pos="1578"/>
              </w:tabs>
              <w:rPr>
                <w:rFonts w:ascii="Arial" w:hAnsi="Arial" w:cs="Arial"/>
                <w:sz w:val="28"/>
                <w:szCs w:val="28"/>
              </w:rPr>
            </w:pPr>
          </w:p>
          <w:p w14:paraId="239104A4" w14:textId="77777777" w:rsidR="00D80E2F" w:rsidRDefault="00D80E2F" w:rsidP="00D37476">
            <w:pPr>
              <w:pStyle w:val="Header"/>
              <w:tabs>
                <w:tab w:val="left" w:pos="1578"/>
              </w:tabs>
              <w:rPr>
                <w:rFonts w:ascii="Arial" w:hAnsi="Arial" w:cs="Arial"/>
                <w:sz w:val="28"/>
                <w:szCs w:val="28"/>
              </w:rPr>
            </w:pPr>
          </w:p>
        </w:tc>
        <w:tc>
          <w:tcPr>
            <w:tcW w:w="3978" w:type="dxa"/>
            <w:tcBorders>
              <w:bottom w:val="single" w:sz="24" w:space="0" w:color="auto"/>
            </w:tcBorders>
          </w:tcPr>
          <w:p w14:paraId="0D6BCC4A" w14:textId="77777777" w:rsidR="00D80E2F" w:rsidRDefault="00D80E2F" w:rsidP="00D37476">
            <w:pPr>
              <w:pStyle w:val="Header"/>
              <w:jc w:val="right"/>
              <w:rPr>
                <w:rFonts w:ascii="Arial" w:hAnsi="Arial" w:cs="Arial"/>
                <w:sz w:val="28"/>
                <w:szCs w:val="28"/>
              </w:rPr>
            </w:pPr>
            <w:r>
              <w:rPr>
                <w:rFonts w:ascii="Arial" w:hAnsi="Arial" w:cs="Arial"/>
                <w:noProof/>
                <w:sz w:val="28"/>
                <w:szCs w:val="28"/>
              </w:rPr>
              <w:drawing>
                <wp:inline distT="0" distB="0" distL="0" distR="0" wp14:anchorId="4D58ACFA" wp14:editId="5DF0E289">
                  <wp:extent cx="1063220" cy="811342"/>
                  <wp:effectExtent l="19050" t="0" r="3580" b="0"/>
                  <wp:docPr id="2" name="Picture 1" descr="Logo1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inch.png"/>
                          <pic:cNvPicPr/>
                        </pic:nvPicPr>
                        <pic:blipFill>
                          <a:blip r:embed="rId13" cstate="print"/>
                          <a:stretch>
                            <a:fillRect/>
                          </a:stretch>
                        </pic:blipFill>
                        <pic:spPr>
                          <a:xfrm>
                            <a:off x="0" y="0"/>
                            <a:ext cx="1062843" cy="811054"/>
                          </a:xfrm>
                          <a:prstGeom prst="rect">
                            <a:avLst/>
                          </a:prstGeom>
                        </pic:spPr>
                      </pic:pic>
                    </a:graphicData>
                  </a:graphic>
                </wp:inline>
              </w:drawing>
            </w:r>
          </w:p>
        </w:tc>
      </w:tr>
    </w:tbl>
    <w:p w14:paraId="5138E3B8" w14:textId="77777777" w:rsidR="00832D42" w:rsidRPr="000C11B1" w:rsidRDefault="00832D42" w:rsidP="00832D42">
      <w:pPr>
        <w:spacing w:after="0"/>
        <w:rPr>
          <w:sz w:val="8"/>
          <w:szCs w:val="8"/>
        </w:rPr>
      </w:pPr>
    </w:p>
    <w:p w14:paraId="0E84E197" w14:textId="77777777" w:rsidR="00832D42" w:rsidRPr="000C11B1" w:rsidRDefault="00832D42" w:rsidP="00832D42">
      <w:pPr>
        <w:pStyle w:val="Header"/>
        <w:jc w:val="right"/>
        <w:rPr>
          <w:rFonts w:cs="Arial"/>
          <w:sz w:val="28"/>
          <w:szCs w:val="28"/>
        </w:rPr>
      </w:pPr>
    </w:p>
    <w:tbl>
      <w:tblPr>
        <w:tblW w:w="0" w:type="auto"/>
        <w:tblLook w:val="04A0" w:firstRow="1" w:lastRow="0" w:firstColumn="1" w:lastColumn="0" w:noHBand="0" w:noVBand="1"/>
      </w:tblPr>
      <w:tblGrid>
        <w:gridCol w:w="9558"/>
      </w:tblGrid>
      <w:tr w:rsidR="00832D42" w:rsidRPr="000C11B1" w14:paraId="1320EF57" w14:textId="77777777" w:rsidTr="001D3A7D">
        <w:tc>
          <w:tcPr>
            <w:tcW w:w="9558" w:type="dxa"/>
            <w:shd w:val="clear" w:color="auto" w:fill="FF0000"/>
          </w:tcPr>
          <w:p w14:paraId="1ACF05DF" w14:textId="77777777" w:rsidR="00832D42" w:rsidRPr="000C11B1" w:rsidRDefault="00832D42" w:rsidP="001D3A7D">
            <w:pPr>
              <w:spacing w:after="0" w:line="240" w:lineRule="auto"/>
              <w:ind w:left="1440" w:hanging="1440"/>
              <w:jc w:val="both"/>
              <w:rPr>
                <w:rFonts w:cs="Arial"/>
                <w:b/>
                <w:color w:val="FFFFFF"/>
                <w:sz w:val="24"/>
                <w:szCs w:val="24"/>
              </w:rPr>
            </w:pPr>
            <w:r w:rsidRPr="000C11B1">
              <w:rPr>
                <w:rFonts w:cs="Arial"/>
                <w:b/>
                <w:color w:val="FFFFFF"/>
                <w:sz w:val="24"/>
                <w:szCs w:val="24"/>
              </w:rPr>
              <w:t>1.  POLICY STATEMENT</w:t>
            </w:r>
          </w:p>
        </w:tc>
      </w:tr>
    </w:tbl>
    <w:p w14:paraId="718AA057" w14:textId="77777777" w:rsidR="00503596" w:rsidRDefault="00832D42" w:rsidP="00832D42">
      <w:pPr>
        <w:spacing w:before="120" w:after="120"/>
        <w:jc w:val="both"/>
        <w:rPr>
          <w:rFonts w:cs="Arial"/>
          <w:sz w:val="24"/>
          <w:szCs w:val="24"/>
        </w:rPr>
      </w:pPr>
      <w:r w:rsidRPr="000C11B1">
        <w:rPr>
          <w:rFonts w:cs="Arial"/>
          <w:sz w:val="24"/>
          <w:szCs w:val="24"/>
        </w:rPr>
        <w:t>Thi</w:t>
      </w:r>
      <w:r w:rsidR="00A7119A">
        <w:rPr>
          <w:rFonts w:cs="Arial"/>
          <w:sz w:val="24"/>
          <w:szCs w:val="24"/>
        </w:rPr>
        <w:t xml:space="preserve">s policy is intended to provide </w:t>
      </w:r>
      <w:r w:rsidR="0086266E">
        <w:rPr>
          <w:rFonts w:cs="Arial"/>
          <w:sz w:val="24"/>
          <w:szCs w:val="24"/>
        </w:rPr>
        <w:t xml:space="preserve">the </w:t>
      </w:r>
      <w:r w:rsidR="00FF3973">
        <w:rPr>
          <w:rFonts w:cs="Arial"/>
          <w:sz w:val="24"/>
          <w:szCs w:val="24"/>
        </w:rPr>
        <w:t xml:space="preserve">Port of Poulsbo </w:t>
      </w:r>
      <w:r w:rsidR="0086266E">
        <w:rPr>
          <w:rFonts w:cs="Arial"/>
          <w:sz w:val="24"/>
          <w:szCs w:val="24"/>
        </w:rPr>
        <w:t>with the means to utilize temporarily vacated permanent slips for transient moorage</w:t>
      </w:r>
      <w:r w:rsidR="00580A9F">
        <w:rPr>
          <w:rFonts w:cs="Arial"/>
          <w:sz w:val="24"/>
          <w:szCs w:val="24"/>
        </w:rPr>
        <w:t>.</w:t>
      </w:r>
      <w:r w:rsidR="00F844E5">
        <w:rPr>
          <w:rFonts w:cs="Arial"/>
          <w:sz w:val="24"/>
          <w:szCs w:val="24"/>
        </w:rPr>
        <w:t xml:space="preserve"> Additionally, it is intend</w:t>
      </w:r>
      <w:r w:rsidR="0086266E">
        <w:rPr>
          <w:rFonts w:cs="Arial"/>
          <w:sz w:val="24"/>
          <w:szCs w:val="24"/>
        </w:rPr>
        <w:t xml:space="preserve">ed to </w:t>
      </w:r>
      <w:r w:rsidR="00580A9F">
        <w:rPr>
          <w:rFonts w:cs="Arial"/>
          <w:sz w:val="24"/>
          <w:szCs w:val="24"/>
        </w:rPr>
        <w:t xml:space="preserve">help </w:t>
      </w:r>
      <w:r w:rsidR="00F321F0">
        <w:rPr>
          <w:rFonts w:cs="Arial"/>
          <w:sz w:val="24"/>
          <w:szCs w:val="24"/>
        </w:rPr>
        <w:t>alleviate</w:t>
      </w:r>
      <w:r w:rsidR="00580A9F">
        <w:rPr>
          <w:rFonts w:cs="Arial"/>
          <w:sz w:val="24"/>
          <w:szCs w:val="24"/>
        </w:rPr>
        <w:t xml:space="preserve">, for the </w:t>
      </w:r>
      <w:r w:rsidR="00FF3973">
        <w:rPr>
          <w:rFonts w:cs="Arial"/>
          <w:sz w:val="24"/>
          <w:szCs w:val="24"/>
        </w:rPr>
        <w:t xml:space="preserve">permanent </w:t>
      </w:r>
      <w:r w:rsidR="005B34A7">
        <w:rPr>
          <w:rFonts w:cs="Arial"/>
          <w:sz w:val="24"/>
          <w:szCs w:val="24"/>
        </w:rPr>
        <w:t>Licensee</w:t>
      </w:r>
      <w:r w:rsidR="00CA52BB">
        <w:rPr>
          <w:rFonts w:cs="Arial"/>
          <w:sz w:val="24"/>
          <w:szCs w:val="24"/>
        </w:rPr>
        <w:t xml:space="preserve">, </w:t>
      </w:r>
      <w:r w:rsidR="00891E8D">
        <w:rPr>
          <w:rFonts w:cs="Arial"/>
          <w:sz w:val="24"/>
          <w:szCs w:val="24"/>
        </w:rPr>
        <w:t xml:space="preserve">some of </w:t>
      </w:r>
      <w:r w:rsidR="00CA52BB">
        <w:rPr>
          <w:rFonts w:cs="Arial"/>
          <w:sz w:val="24"/>
          <w:szCs w:val="24"/>
        </w:rPr>
        <w:t>the financial bu</w:t>
      </w:r>
      <w:r w:rsidR="00BC7815">
        <w:rPr>
          <w:rFonts w:cs="Arial"/>
          <w:sz w:val="24"/>
          <w:szCs w:val="24"/>
        </w:rPr>
        <w:t>rden of paying for an empty berth</w:t>
      </w:r>
      <w:r w:rsidR="00CA52BB">
        <w:rPr>
          <w:rFonts w:cs="Arial"/>
          <w:sz w:val="24"/>
          <w:szCs w:val="24"/>
        </w:rPr>
        <w:t>.</w:t>
      </w:r>
    </w:p>
    <w:p w14:paraId="6E360B3C" w14:textId="77777777" w:rsidR="00004EA6" w:rsidRPr="000C11B1" w:rsidRDefault="00914641" w:rsidP="00832D42">
      <w:pPr>
        <w:spacing w:before="120" w:after="120"/>
        <w:jc w:val="both"/>
        <w:rPr>
          <w:rFonts w:cs="Arial"/>
        </w:rPr>
      </w:pPr>
      <w:r>
        <w:rPr>
          <w:rFonts w:cs="Arial"/>
          <w:sz w:val="24"/>
          <w:szCs w:val="24"/>
        </w:rPr>
        <w:t>The</w:t>
      </w:r>
      <w:r w:rsidR="005C7E10">
        <w:rPr>
          <w:rFonts w:cs="Arial"/>
          <w:sz w:val="24"/>
          <w:szCs w:val="24"/>
        </w:rPr>
        <w:t xml:space="preserve"> result of this policy will be expanded </w:t>
      </w:r>
      <w:r>
        <w:rPr>
          <w:rFonts w:cs="Arial"/>
          <w:sz w:val="24"/>
          <w:szCs w:val="24"/>
        </w:rPr>
        <w:t>service</w:t>
      </w:r>
      <w:r w:rsidR="005C7E10">
        <w:rPr>
          <w:rFonts w:cs="Arial"/>
          <w:sz w:val="24"/>
          <w:szCs w:val="24"/>
        </w:rPr>
        <w:t>s</w:t>
      </w:r>
      <w:r>
        <w:rPr>
          <w:rFonts w:cs="Arial"/>
          <w:sz w:val="24"/>
          <w:szCs w:val="24"/>
        </w:rPr>
        <w:t xml:space="preserve"> for the Port’s permanent and transient </w:t>
      </w:r>
      <w:r w:rsidR="005B34A7">
        <w:rPr>
          <w:rFonts w:cs="Arial"/>
          <w:sz w:val="24"/>
          <w:szCs w:val="24"/>
        </w:rPr>
        <w:t>Licensee</w:t>
      </w:r>
      <w:r>
        <w:rPr>
          <w:rFonts w:cs="Arial"/>
          <w:sz w:val="24"/>
          <w:szCs w:val="24"/>
        </w:rPr>
        <w:t xml:space="preserve">s alike. </w:t>
      </w:r>
    </w:p>
    <w:tbl>
      <w:tblPr>
        <w:tblW w:w="0" w:type="auto"/>
        <w:tblLook w:val="04A0" w:firstRow="1" w:lastRow="0" w:firstColumn="1" w:lastColumn="0" w:noHBand="0" w:noVBand="1"/>
      </w:tblPr>
      <w:tblGrid>
        <w:gridCol w:w="9558"/>
      </w:tblGrid>
      <w:tr w:rsidR="00832D42" w:rsidRPr="000C11B1" w14:paraId="57744FF5" w14:textId="77777777" w:rsidTr="001D3A7D">
        <w:tc>
          <w:tcPr>
            <w:tcW w:w="9558" w:type="dxa"/>
            <w:shd w:val="clear" w:color="auto" w:fill="FF0000"/>
          </w:tcPr>
          <w:p w14:paraId="2A59F0B6" w14:textId="77777777" w:rsidR="00832D42" w:rsidRPr="000C11B1" w:rsidRDefault="00832D42" w:rsidP="001D3A7D">
            <w:pPr>
              <w:spacing w:after="0" w:line="240" w:lineRule="auto"/>
              <w:ind w:left="1440" w:hanging="1440"/>
              <w:jc w:val="both"/>
              <w:rPr>
                <w:rFonts w:cs="Arial"/>
                <w:b/>
                <w:color w:val="FFFFFF"/>
                <w:sz w:val="24"/>
                <w:szCs w:val="24"/>
              </w:rPr>
            </w:pPr>
            <w:r w:rsidRPr="000C11B1">
              <w:rPr>
                <w:rFonts w:cs="Arial"/>
                <w:b/>
                <w:color w:val="FFFFFF"/>
                <w:sz w:val="24"/>
                <w:szCs w:val="24"/>
              </w:rPr>
              <w:t>2.  POLICY GUIDELINES</w:t>
            </w:r>
          </w:p>
        </w:tc>
      </w:tr>
    </w:tbl>
    <w:p w14:paraId="242C3BAE" w14:textId="77777777" w:rsidR="00FF3973" w:rsidRPr="001D66F4" w:rsidRDefault="00FF3973" w:rsidP="003B2082">
      <w:pPr>
        <w:pStyle w:val="NormalWeb"/>
        <w:numPr>
          <w:ilvl w:val="0"/>
          <w:numId w:val="10"/>
        </w:numPr>
        <w:spacing w:before="240" w:beforeAutospacing="0" w:after="0" w:afterAutospacing="0"/>
        <w:jc w:val="both"/>
        <w:rPr>
          <w:rFonts w:ascii="Calibri" w:eastAsia="Calibri" w:hAnsi="Calibri" w:cs="Arial"/>
        </w:rPr>
      </w:pPr>
      <w:r w:rsidRPr="001D66F4">
        <w:rPr>
          <w:rFonts w:ascii="Calibri" w:eastAsia="Calibri" w:hAnsi="Calibri" w:cs="Arial"/>
        </w:rPr>
        <w:t>Definitions</w:t>
      </w:r>
    </w:p>
    <w:p w14:paraId="4FFA353D" w14:textId="77777777" w:rsidR="00FF3973" w:rsidRPr="001D66F4" w:rsidRDefault="00FF3973" w:rsidP="003B2082">
      <w:pPr>
        <w:pStyle w:val="NormalWeb"/>
        <w:numPr>
          <w:ilvl w:val="1"/>
          <w:numId w:val="11"/>
        </w:numPr>
        <w:spacing w:before="240" w:beforeAutospacing="0" w:after="0" w:afterAutospacing="0"/>
        <w:ind w:left="1080"/>
        <w:jc w:val="both"/>
        <w:rPr>
          <w:rFonts w:ascii="Calibri Light" w:eastAsia="Calibri" w:hAnsi="Calibri Light" w:cs="Arial"/>
        </w:rPr>
      </w:pPr>
      <w:r w:rsidRPr="001D66F4">
        <w:rPr>
          <w:rFonts w:ascii="Calibri Light" w:eastAsia="Calibri" w:hAnsi="Calibri Light" w:cs="Arial"/>
        </w:rPr>
        <w:t xml:space="preserve">Permanent </w:t>
      </w:r>
      <w:r w:rsidR="005B34A7">
        <w:rPr>
          <w:rFonts w:ascii="Calibri Light" w:eastAsia="Calibri" w:hAnsi="Calibri Light" w:cs="Arial"/>
        </w:rPr>
        <w:t>Licensee</w:t>
      </w:r>
      <w:r w:rsidR="00EC39D8">
        <w:rPr>
          <w:rFonts w:ascii="Calibri Light" w:eastAsia="Calibri" w:hAnsi="Calibri Light" w:cs="Arial"/>
        </w:rPr>
        <w:t xml:space="preserve"> – A long term </w:t>
      </w:r>
      <w:r w:rsidR="005B34A7">
        <w:rPr>
          <w:rFonts w:ascii="Calibri Light" w:eastAsia="Calibri" w:hAnsi="Calibri Light" w:cs="Arial"/>
        </w:rPr>
        <w:t>Licensee</w:t>
      </w:r>
      <w:r w:rsidR="00A24E88">
        <w:rPr>
          <w:rFonts w:ascii="Calibri Light" w:eastAsia="Calibri" w:hAnsi="Calibri Light" w:cs="Arial"/>
        </w:rPr>
        <w:t>. A vessel owner</w:t>
      </w:r>
      <w:r w:rsidR="00CD1A80">
        <w:rPr>
          <w:rFonts w:ascii="Calibri Light" w:eastAsia="Calibri" w:hAnsi="Calibri Light" w:cs="Arial"/>
        </w:rPr>
        <w:t xml:space="preserve"> who</w:t>
      </w:r>
      <w:r w:rsidR="00F844E5">
        <w:rPr>
          <w:rFonts w:ascii="Calibri Light" w:eastAsia="Calibri" w:hAnsi="Calibri Light" w:cs="Arial"/>
        </w:rPr>
        <w:t xml:space="preserve"> calls the Port of Poulsbo his/her</w:t>
      </w:r>
      <w:r w:rsidR="00CD1A80">
        <w:rPr>
          <w:rFonts w:ascii="Calibri Light" w:eastAsia="Calibri" w:hAnsi="Calibri Light" w:cs="Arial"/>
        </w:rPr>
        <w:t xml:space="preserve"> home port.</w:t>
      </w:r>
    </w:p>
    <w:p w14:paraId="4CD93363" w14:textId="77777777" w:rsidR="00FF3973" w:rsidRPr="00A24E88" w:rsidRDefault="00FF3973" w:rsidP="003B2082">
      <w:pPr>
        <w:pStyle w:val="NormalWeb"/>
        <w:numPr>
          <w:ilvl w:val="1"/>
          <w:numId w:val="11"/>
        </w:numPr>
        <w:spacing w:before="240" w:beforeAutospacing="0" w:after="0" w:afterAutospacing="0"/>
        <w:ind w:left="1080"/>
        <w:jc w:val="both"/>
        <w:rPr>
          <w:rFonts w:ascii="Calibri Light" w:eastAsia="Calibri" w:hAnsi="Calibri Light" w:cs="Arial"/>
        </w:rPr>
      </w:pPr>
      <w:r w:rsidRPr="001D66F4">
        <w:rPr>
          <w:rFonts w:ascii="Calibri Light" w:eastAsia="Calibri" w:hAnsi="Calibri Light" w:cs="Arial"/>
        </w:rPr>
        <w:t xml:space="preserve">Transient </w:t>
      </w:r>
      <w:r w:rsidR="005B34A7">
        <w:rPr>
          <w:rFonts w:ascii="Calibri Light" w:eastAsia="Calibri" w:hAnsi="Calibri Light" w:cs="Arial"/>
        </w:rPr>
        <w:t>Licensee</w:t>
      </w:r>
      <w:r w:rsidR="00EC39D8">
        <w:rPr>
          <w:rFonts w:ascii="Calibri Light" w:eastAsia="Calibri" w:hAnsi="Calibri Light" w:cs="Arial"/>
        </w:rPr>
        <w:t xml:space="preserve"> – A short term </w:t>
      </w:r>
      <w:r w:rsidR="005B34A7">
        <w:rPr>
          <w:rFonts w:ascii="Calibri Light" w:eastAsia="Calibri" w:hAnsi="Calibri Light" w:cs="Arial"/>
        </w:rPr>
        <w:t>Licensee</w:t>
      </w:r>
      <w:r w:rsidR="00A24E88" w:rsidRPr="00A24E88">
        <w:rPr>
          <w:rFonts w:ascii="Calibri Light" w:eastAsia="Calibri" w:hAnsi="Calibri Light" w:cs="Arial"/>
        </w:rPr>
        <w:t xml:space="preserve">. </w:t>
      </w:r>
      <w:bookmarkStart w:id="0" w:name="searchTermHit"/>
      <w:bookmarkEnd w:id="0"/>
      <w:r w:rsidR="00A24E88">
        <w:rPr>
          <w:rFonts w:ascii="Calibri Light" w:hAnsi="Calibri Light"/>
        </w:rPr>
        <w:t xml:space="preserve">A vessel owner who is </w:t>
      </w:r>
      <w:r w:rsidR="00A24E88" w:rsidRPr="00A24E88">
        <w:rPr>
          <w:rFonts w:ascii="Calibri Light" w:hAnsi="Calibri Light"/>
        </w:rPr>
        <w:t>seeking a harbor or refuge, day use, or overnight use of a private moorage facility on a space-as-available basis</w:t>
      </w:r>
      <w:r w:rsidR="00A24E88">
        <w:rPr>
          <w:rFonts w:ascii="Calibri Light" w:hAnsi="Calibri Light"/>
        </w:rPr>
        <w:t>.</w:t>
      </w:r>
    </w:p>
    <w:p w14:paraId="439528B8" w14:textId="77777777" w:rsidR="00D37476" w:rsidRPr="001D66F4" w:rsidRDefault="005B34A7" w:rsidP="003B2082">
      <w:pPr>
        <w:pStyle w:val="NormalWeb"/>
        <w:numPr>
          <w:ilvl w:val="0"/>
          <w:numId w:val="10"/>
        </w:numPr>
        <w:spacing w:before="240" w:beforeAutospacing="0" w:after="0" w:afterAutospacing="0"/>
        <w:jc w:val="both"/>
        <w:rPr>
          <w:rFonts w:ascii="Calibri" w:eastAsia="Calibri" w:hAnsi="Calibri" w:cs="Arial"/>
        </w:rPr>
      </w:pPr>
      <w:r>
        <w:rPr>
          <w:rFonts w:ascii="Calibri" w:eastAsia="MS Mincho" w:hAnsi="Calibri" w:cs="Arial"/>
        </w:rPr>
        <w:t>Licensee</w:t>
      </w:r>
      <w:r w:rsidR="005B404B" w:rsidRPr="001D66F4">
        <w:rPr>
          <w:rFonts w:ascii="Calibri" w:eastAsia="MS Mincho" w:hAnsi="Calibri" w:cs="Arial"/>
        </w:rPr>
        <w:t xml:space="preserve"> Responsibilities</w:t>
      </w:r>
    </w:p>
    <w:p w14:paraId="4C47E6D2" w14:textId="77777777" w:rsidR="00B51165" w:rsidRPr="001D66F4" w:rsidRDefault="00B51165" w:rsidP="003B2082">
      <w:pPr>
        <w:pStyle w:val="NormalWeb"/>
        <w:numPr>
          <w:ilvl w:val="1"/>
          <w:numId w:val="17"/>
        </w:numPr>
        <w:spacing w:before="240" w:beforeAutospacing="0" w:after="0" w:afterAutospacing="0"/>
        <w:ind w:left="1080"/>
        <w:jc w:val="both"/>
        <w:rPr>
          <w:rFonts w:ascii="Calibri" w:eastAsia="Calibri" w:hAnsi="Calibri" w:cs="Arial"/>
        </w:rPr>
      </w:pPr>
      <w:r w:rsidRPr="001D66F4">
        <w:rPr>
          <w:rFonts w:ascii="Calibri" w:eastAsia="MS Mincho" w:hAnsi="Calibri" w:cs="Arial"/>
        </w:rPr>
        <w:t xml:space="preserve">Permanent </w:t>
      </w:r>
      <w:r w:rsidR="005B34A7">
        <w:rPr>
          <w:rFonts w:ascii="Calibri" w:eastAsia="MS Mincho" w:hAnsi="Calibri" w:cs="Arial"/>
        </w:rPr>
        <w:t>Licensee</w:t>
      </w:r>
      <w:r w:rsidRPr="001D66F4">
        <w:rPr>
          <w:rFonts w:ascii="Calibri" w:eastAsia="MS Mincho" w:hAnsi="Calibri" w:cs="Arial"/>
        </w:rPr>
        <w:t>s</w:t>
      </w:r>
    </w:p>
    <w:p w14:paraId="7D6EE72B" w14:textId="77777777" w:rsidR="00B51165" w:rsidRDefault="005B34A7" w:rsidP="003B2082">
      <w:pPr>
        <w:pStyle w:val="NormalWeb"/>
        <w:numPr>
          <w:ilvl w:val="2"/>
          <w:numId w:val="18"/>
        </w:numPr>
        <w:spacing w:before="240" w:beforeAutospacing="0" w:after="0" w:afterAutospacing="0"/>
        <w:ind w:left="1440" w:hanging="360"/>
        <w:jc w:val="both"/>
        <w:rPr>
          <w:rFonts w:ascii="Calibri Light" w:eastAsia="MS Mincho" w:hAnsi="Calibri Light" w:cs="Arial"/>
        </w:rPr>
      </w:pPr>
      <w:r>
        <w:rPr>
          <w:rFonts w:ascii="Calibri Light" w:eastAsia="MS Mincho" w:hAnsi="Calibri Light" w:cs="Arial"/>
        </w:rPr>
        <w:t>Licensee</w:t>
      </w:r>
      <w:r w:rsidR="000D4AD0" w:rsidRPr="00402D8F">
        <w:rPr>
          <w:rFonts w:ascii="Calibri Light" w:eastAsia="MS Mincho" w:hAnsi="Calibri Light" w:cs="Arial"/>
        </w:rPr>
        <w:t xml:space="preserve">s are responsible for </w:t>
      </w:r>
      <w:r w:rsidR="00402D8F" w:rsidRPr="00402D8F">
        <w:rPr>
          <w:rFonts w:ascii="Calibri Light" w:eastAsia="MS Mincho" w:hAnsi="Calibri Light" w:cs="Arial"/>
        </w:rPr>
        <w:t>all monthly</w:t>
      </w:r>
      <w:r w:rsidR="000D4AD0" w:rsidRPr="00402D8F">
        <w:rPr>
          <w:rFonts w:ascii="Calibri Light" w:eastAsia="MS Mincho" w:hAnsi="Calibri Light" w:cs="Arial"/>
        </w:rPr>
        <w:t xml:space="preserve"> charges agreed upon in the Port’s </w:t>
      </w:r>
      <w:r w:rsidR="0013618F">
        <w:rPr>
          <w:rFonts w:ascii="Calibri Light" w:eastAsia="MS Mincho" w:hAnsi="Calibri Light" w:cs="Arial"/>
        </w:rPr>
        <w:t>Permanent Moorage A</w:t>
      </w:r>
      <w:r w:rsidR="000D4AD0" w:rsidRPr="00402D8F">
        <w:rPr>
          <w:rFonts w:ascii="Calibri Light" w:eastAsia="MS Mincho" w:hAnsi="Calibri Light" w:cs="Arial"/>
        </w:rPr>
        <w:t>greement</w:t>
      </w:r>
      <w:r w:rsidR="00402D8F" w:rsidRPr="00402D8F">
        <w:rPr>
          <w:rFonts w:ascii="Calibri Light" w:eastAsia="MS Mincho" w:hAnsi="Calibri Light" w:cs="Arial"/>
        </w:rPr>
        <w:t xml:space="preserve">, except the following: damage to Port property caused by a Transient </w:t>
      </w:r>
      <w:r>
        <w:rPr>
          <w:rFonts w:ascii="Calibri Light" w:eastAsia="MS Mincho" w:hAnsi="Calibri Light" w:cs="Arial"/>
        </w:rPr>
        <w:t>Licensee</w:t>
      </w:r>
      <w:r w:rsidR="00402D8F" w:rsidRPr="00402D8F">
        <w:rPr>
          <w:rFonts w:ascii="Calibri Light" w:eastAsia="MS Mincho" w:hAnsi="Calibri Light" w:cs="Arial"/>
        </w:rPr>
        <w:t xml:space="preserve"> or electrical charges incurred by a Transient </w:t>
      </w:r>
      <w:r>
        <w:rPr>
          <w:rFonts w:ascii="Calibri Light" w:eastAsia="MS Mincho" w:hAnsi="Calibri Light" w:cs="Arial"/>
        </w:rPr>
        <w:t>Licensee</w:t>
      </w:r>
      <w:r w:rsidR="00402D8F">
        <w:rPr>
          <w:rFonts w:ascii="Calibri Light" w:eastAsia="MS Mincho" w:hAnsi="Calibri Light" w:cs="Arial"/>
        </w:rPr>
        <w:t xml:space="preserve"> during berth</w:t>
      </w:r>
      <w:r w:rsidR="001C5BDD">
        <w:rPr>
          <w:rFonts w:ascii="Calibri Light" w:eastAsia="MS Mincho" w:hAnsi="Calibri Light" w:cs="Arial"/>
        </w:rPr>
        <w:t xml:space="preserve"> occupation. At no time is a </w:t>
      </w:r>
      <w:r>
        <w:rPr>
          <w:rFonts w:ascii="Calibri Light" w:eastAsia="MS Mincho" w:hAnsi="Calibri Light" w:cs="Arial"/>
        </w:rPr>
        <w:t>Licensee</w:t>
      </w:r>
      <w:r w:rsidR="00402D8F">
        <w:rPr>
          <w:rFonts w:ascii="Calibri Light" w:eastAsia="MS Mincho" w:hAnsi="Calibri Light" w:cs="Arial"/>
        </w:rPr>
        <w:t xml:space="preserve"> excused f</w:t>
      </w:r>
      <w:r w:rsidR="00F844E5">
        <w:rPr>
          <w:rFonts w:ascii="Calibri Light" w:eastAsia="MS Mincho" w:hAnsi="Calibri Light" w:cs="Arial"/>
        </w:rPr>
        <w:t>rom paying his/her</w:t>
      </w:r>
      <w:r w:rsidR="00402D8F">
        <w:rPr>
          <w:rFonts w:ascii="Calibri Light" w:eastAsia="MS Mincho" w:hAnsi="Calibri Light" w:cs="Arial"/>
        </w:rPr>
        <w:t xml:space="preserve"> monthly moorage.</w:t>
      </w:r>
    </w:p>
    <w:p w14:paraId="22A75781" w14:textId="77777777" w:rsidR="00402D8F" w:rsidRPr="00281BC7" w:rsidRDefault="005B34A7" w:rsidP="003B2082">
      <w:pPr>
        <w:pStyle w:val="NormalWeb"/>
        <w:numPr>
          <w:ilvl w:val="2"/>
          <w:numId w:val="18"/>
        </w:numPr>
        <w:spacing w:before="240" w:beforeAutospacing="0" w:after="0" w:afterAutospacing="0"/>
        <w:ind w:left="1440" w:hanging="360"/>
        <w:jc w:val="both"/>
        <w:rPr>
          <w:rFonts w:ascii="Calibri Light" w:eastAsia="Calibri" w:hAnsi="Calibri Light" w:cs="Arial"/>
        </w:rPr>
      </w:pPr>
      <w:r>
        <w:rPr>
          <w:rFonts w:ascii="Calibri Light" w:eastAsia="MS Mincho" w:hAnsi="Calibri Light" w:cs="Arial"/>
        </w:rPr>
        <w:t>Licensee</w:t>
      </w:r>
      <w:r w:rsidR="00402D8F">
        <w:rPr>
          <w:rFonts w:ascii="Calibri Light" w:eastAsia="MS Mincho" w:hAnsi="Calibri Light" w:cs="Arial"/>
        </w:rPr>
        <w:t>s must notify the Port office</w:t>
      </w:r>
      <w:r w:rsidR="00086FBE">
        <w:rPr>
          <w:rFonts w:ascii="Calibri Light" w:eastAsia="MS Mincho" w:hAnsi="Calibri Light" w:cs="Arial"/>
        </w:rPr>
        <w:t xml:space="preserve"> of their departure</w:t>
      </w:r>
      <w:r w:rsidR="00402D8F">
        <w:rPr>
          <w:rFonts w:ascii="Calibri Light" w:eastAsia="MS Mincho" w:hAnsi="Calibri Light" w:cs="Arial"/>
        </w:rPr>
        <w:t xml:space="preserve"> </w:t>
      </w:r>
      <w:r w:rsidR="00E53410">
        <w:rPr>
          <w:rFonts w:ascii="Calibri Light" w:eastAsia="MS Mincho" w:hAnsi="Calibri Light" w:cs="Arial"/>
        </w:rPr>
        <w:t xml:space="preserve">and return </w:t>
      </w:r>
      <w:r w:rsidR="00086FBE">
        <w:rPr>
          <w:rFonts w:ascii="Calibri Light" w:eastAsia="MS Mincho" w:hAnsi="Calibri Light" w:cs="Arial"/>
        </w:rPr>
        <w:t>date</w:t>
      </w:r>
      <w:r w:rsidR="00E53410">
        <w:rPr>
          <w:rFonts w:ascii="Calibri Light" w:eastAsia="MS Mincho" w:hAnsi="Calibri Light" w:cs="Arial"/>
        </w:rPr>
        <w:t>s</w:t>
      </w:r>
      <w:r w:rsidR="00086FBE">
        <w:rPr>
          <w:rFonts w:ascii="Calibri Light" w:eastAsia="MS Mincho" w:hAnsi="Calibri Light" w:cs="Arial"/>
        </w:rPr>
        <w:t xml:space="preserve"> </w:t>
      </w:r>
      <w:r w:rsidR="00402D8F">
        <w:rPr>
          <w:rFonts w:ascii="Calibri Light" w:eastAsia="MS Mincho" w:hAnsi="Calibri Light" w:cs="Arial"/>
        </w:rPr>
        <w:t xml:space="preserve">a minimum of ten days prior to </w:t>
      </w:r>
      <w:r w:rsidR="00086FBE">
        <w:rPr>
          <w:rFonts w:ascii="Calibri Light" w:eastAsia="MS Mincho" w:hAnsi="Calibri Light" w:cs="Arial"/>
        </w:rPr>
        <w:t>departure</w:t>
      </w:r>
      <w:r w:rsidR="00402D8F">
        <w:rPr>
          <w:rFonts w:ascii="Calibri Light" w:eastAsia="MS Mincho" w:hAnsi="Calibri Light" w:cs="Arial"/>
        </w:rPr>
        <w:t xml:space="preserve"> in order to participate in the Hot Berthing program.</w:t>
      </w:r>
    </w:p>
    <w:p w14:paraId="08D4C583" w14:textId="77777777" w:rsidR="00266605" w:rsidRPr="00E53410" w:rsidRDefault="005B34A7" w:rsidP="00E53410">
      <w:pPr>
        <w:pStyle w:val="NormalWeb"/>
        <w:numPr>
          <w:ilvl w:val="2"/>
          <w:numId w:val="18"/>
        </w:numPr>
        <w:spacing w:before="240" w:beforeAutospacing="0" w:after="0" w:afterAutospacing="0"/>
        <w:ind w:left="1440" w:hanging="360"/>
        <w:jc w:val="both"/>
        <w:rPr>
          <w:rFonts w:ascii="Calibri Light" w:eastAsia="Calibri" w:hAnsi="Calibri Light" w:cs="Arial"/>
        </w:rPr>
      </w:pPr>
      <w:r>
        <w:rPr>
          <w:rFonts w:ascii="Calibri Light" w:eastAsia="MS Mincho" w:hAnsi="Calibri Light" w:cs="Arial"/>
        </w:rPr>
        <w:t>Licensee</w:t>
      </w:r>
      <w:r w:rsidR="00EC39D8">
        <w:rPr>
          <w:rFonts w:ascii="Calibri Light" w:eastAsia="MS Mincho" w:hAnsi="Calibri Light" w:cs="Arial"/>
        </w:rPr>
        <w:t>s must complete and sign the Hot Berthing</w:t>
      </w:r>
      <w:r w:rsidR="00281BC7">
        <w:rPr>
          <w:rFonts w:ascii="Calibri Light" w:eastAsia="MS Mincho" w:hAnsi="Calibri Light" w:cs="Arial"/>
        </w:rPr>
        <w:t xml:space="preserve"> Agreement prior to departure.</w:t>
      </w:r>
    </w:p>
    <w:p w14:paraId="65A9D74E" w14:textId="77777777" w:rsidR="001C5BDD" w:rsidRPr="00526C79" w:rsidRDefault="00A93482" w:rsidP="003B2082">
      <w:pPr>
        <w:pStyle w:val="NormalWeb"/>
        <w:numPr>
          <w:ilvl w:val="1"/>
          <w:numId w:val="17"/>
        </w:numPr>
        <w:spacing w:before="240" w:beforeAutospacing="0" w:after="0" w:afterAutospacing="0"/>
        <w:ind w:left="1080"/>
        <w:jc w:val="both"/>
        <w:rPr>
          <w:rFonts w:ascii="Calibri" w:eastAsia="MS Mincho" w:hAnsi="Calibri" w:cs="Arial"/>
        </w:rPr>
      </w:pPr>
      <w:r w:rsidRPr="00526C79">
        <w:rPr>
          <w:rFonts w:ascii="Calibri" w:eastAsia="MS Mincho" w:hAnsi="Calibri" w:cs="Arial"/>
        </w:rPr>
        <w:t xml:space="preserve">Transient </w:t>
      </w:r>
      <w:r w:rsidR="005B34A7">
        <w:rPr>
          <w:rFonts w:ascii="Calibri" w:eastAsia="MS Mincho" w:hAnsi="Calibri" w:cs="Arial"/>
        </w:rPr>
        <w:t>Licensee</w:t>
      </w:r>
      <w:r w:rsidRPr="00526C79">
        <w:rPr>
          <w:rFonts w:ascii="Calibri" w:eastAsia="MS Mincho" w:hAnsi="Calibri" w:cs="Arial"/>
        </w:rPr>
        <w:t>s</w:t>
      </w:r>
    </w:p>
    <w:p w14:paraId="3FB5A553" w14:textId="77777777" w:rsidR="00526C79" w:rsidRDefault="00165ADD"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lastRenderedPageBreak/>
        <w:t>Transients</w:t>
      </w:r>
      <w:r w:rsidR="00A93482">
        <w:rPr>
          <w:rFonts w:ascii="Calibri Light" w:eastAsia="MS Mincho" w:hAnsi="Calibri Light" w:cs="Arial"/>
        </w:rPr>
        <w:t xml:space="preserve"> must complete, sign and comply with the terms of the Transient Moorage Agreement.</w:t>
      </w:r>
    </w:p>
    <w:p w14:paraId="369440C3" w14:textId="77777777" w:rsidR="00BB1539" w:rsidRDefault="00BB1539"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t>Transients may NOT live aboard without prior authorization by the Port Manager.</w:t>
      </w:r>
    </w:p>
    <w:p w14:paraId="708549FC" w14:textId="77777777" w:rsidR="00526C79" w:rsidRDefault="00165ADD"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t>Transients</w:t>
      </w:r>
      <w:r w:rsidR="00526C79">
        <w:rPr>
          <w:rFonts w:ascii="Calibri Light" w:eastAsia="MS Mincho" w:hAnsi="Calibri Light" w:cs="Arial"/>
        </w:rPr>
        <w:t xml:space="preserve"> must comply with the Port’s adopted Rules and Regulations.</w:t>
      </w:r>
    </w:p>
    <w:p w14:paraId="44743DE2" w14:textId="77777777" w:rsidR="00526C79" w:rsidRDefault="00165ADD"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t>Transients are</w:t>
      </w:r>
      <w:r w:rsidR="00526C79">
        <w:rPr>
          <w:rFonts w:ascii="Calibri Light" w:eastAsia="MS Mincho" w:hAnsi="Calibri Light" w:cs="Arial"/>
        </w:rPr>
        <w:t xml:space="preserve"> responsible for paying transient moorage rates to the Port office on or before the time specified by the Transient Moorage Agreement.</w:t>
      </w:r>
    </w:p>
    <w:p w14:paraId="3A76F253" w14:textId="77777777" w:rsidR="00165ADD" w:rsidRDefault="00F93041" w:rsidP="003B2082">
      <w:pPr>
        <w:pStyle w:val="NormalWeb"/>
        <w:numPr>
          <w:ilvl w:val="1"/>
          <w:numId w:val="20"/>
        </w:numPr>
        <w:spacing w:before="240" w:beforeAutospacing="0" w:after="0" w:afterAutospacing="0"/>
        <w:jc w:val="both"/>
        <w:rPr>
          <w:rFonts w:ascii="Calibri Light" w:eastAsia="MS Mincho" w:hAnsi="Calibri Light" w:cs="Arial"/>
        </w:rPr>
      </w:pPr>
      <w:r w:rsidRPr="00F93041">
        <w:rPr>
          <w:rFonts w:ascii="Calibri Light" w:eastAsia="MS Mincho" w:hAnsi="Calibri Light" w:cs="Arial"/>
        </w:rPr>
        <w:t>Transient Licensees are responsible for and shall save, defend and hold the Port harmless from damages to Port property, caused by Transient Licensee or anyone on Port property arising from the Transient Licensee</w:t>
      </w:r>
      <w:r w:rsidR="00165ADD">
        <w:rPr>
          <w:rFonts w:ascii="Calibri Light" w:eastAsia="MS Mincho" w:hAnsi="Calibri Light" w:cs="Arial"/>
        </w:rPr>
        <w:t>.</w:t>
      </w:r>
    </w:p>
    <w:p w14:paraId="003B3139" w14:textId="77777777" w:rsidR="004151D3" w:rsidRDefault="004151D3"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t>Transient Licensee</w:t>
      </w:r>
      <w:r w:rsidR="007E47AA">
        <w:rPr>
          <w:rFonts w:ascii="Calibri Light" w:eastAsia="MS Mincho" w:hAnsi="Calibri Light" w:cs="Arial"/>
        </w:rPr>
        <w:t>s</w:t>
      </w:r>
      <w:r>
        <w:rPr>
          <w:rFonts w:ascii="Calibri Light" w:eastAsia="MS Mincho" w:hAnsi="Calibri Light" w:cs="Arial"/>
        </w:rPr>
        <w:t xml:space="preserve"> occupying a boathouse are responsible </w:t>
      </w:r>
      <w:r w:rsidR="00FA30D2">
        <w:rPr>
          <w:rFonts w:ascii="Calibri Light" w:eastAsia="MS Mincho" w:hAnsi="Calibri Light" w:cs="Arial"/>
        </w:rPr>
        <w:t xml:space="preserve">to the boathouse owner </w:t>
      </w:r>
      <w:r>
        <w:rPr>
          <w:rFonts w:ascii="Calibri Light" w:eastAsia="MS Mincho" w:hAnsi="Calibri Light" w:cs="Arial"/>
        </w:rPr>
        <w:t>for damages to the boathouse structure and all contents therein caused by Transient Licensee or anyone on Port property arising from the Transient Licensee.</w:t>
      </w:r>
    </w:p>
    <w:p w14:paraId="79DC0DBA" w14:textId="77777777" w:rsidR="00A93482" w:rsidRDefault="00526C79" w:rsidP="003B2082">
      <w:pPr>
        <w:pStyle w:val="NormalWeb"/>
        <w:numPr>
          <w:ilvl w:val="1"/>
          <w:numId w:val="20"/>
        </w:numPr>
        <w:spacing w:before="240" w:beforeAutospacing="0" w:after="0" w:afterAutospacing="0"/>
        <w:jc w:val="both"/>
        <w:rPr>
          <w:rFonts w:ascii="Calibri Light" w:eastAsia="MS Mincho" w:hAnsi="Calibri Light" w:cs="Arial"/>
        </w:rPr>
      </w:pPr>
      <w:r>
        <w:rPr>
          <w:rFonts w:ascii="Calibri Light" w:eastAsia="MS Mincho" w:hAnsi="Calibri Light" w:cs="Arial"/>
        </w:rPr>
        <w:t xml:space="preserve">If deemed necessary, </w:t>
      </w:r>
      <w:r w:rsidR="00165ADD">
        <w:rPr>
          <w:rFonts w:ascii="Calibri Light" w:eastAsia="MS Mincho" w:hAnsi="Calibri Light" w:cs="Arial"/>
        </w:rPr>
        <w:t>Transients</w:t>
      </w:r>
      <w:r>
        <w:rPr>
          <w:rFonts w:ascii="Calibri Light" w:eastAsia="MS Mincho" w:hAnsi="Calibri Light" w:cs="Arial"/>
        </w:rPr>
        <w:t xml:space="preserve"> must vacate the assigned berth on or before the date specified by the Port.</w:t>
      </w:r>
    </w:p>
    <w:p w14:paraId="0A07975B" w14:textId="77777777" w:rsidR="005B404B" w:rsidRDefault="005B404B" w:rsidP="003B2082">
      <w:pPr>
        <w:pStyle w:val="NormalWeb"/>
        <w:numPr>
          <w:ilvl w:val="0"/>
          <w:numId w:val="10"/>
        </w:numPr>
        <w:spacing w:before="240" w:beforeAutospacing="0" w:after="0" w:afterAutospacing="0"/>
        <w:jc w:val="both"/>
        <w:rPr>
          <w:rFonts w:ascii="Calibri" w:eastAsia="MS Mincho" w:hAnsi="Calibri" w:cs="Arial"/>
        </w:rPr>
      </w:pPr>
      <w:r w:rsidRPr="00526C79">
        <w:rPr>
          <w:rFonts w:ascii="Calibri" w:eastAsia="MS Mincho" w:hAnsi="Calibri" w:cs="Arial"/>
        </w:rPr>
        <w:t>Port Responsibilities</w:t>
      </w:r>
    </w:p>
    <w:p w14:paraId="60462671" w14:textId="77777777" w:rsidR="00D52141" w:rsidRDefault="00D52141" w:rsidP="00D52141">
      <w:pPr>
        <w:pStyle w:val="NormalWeb"/>
        <w:numPr>
          <w:ilvl w:val="1"/>
          <w:numId w:val="10"/>
        </w:numPr>
        <w:spacing w:before="240" w:beforeAutospacing="0" w:after="0" w:afterAutospacing="0"/>
        <w:ind w:left="1080"/>
        <w:jc w:val="both"/>
        <w:rPr>
          <w:rFonts w:ascii="Calibri Light" w:eastAsia="MS Mincho" w:hAnsi="Calibri Light" w:cs="Arial"/>
        </w:rPr>
      </w:pPr>
      <w:r w:rsidRPr="00BB1539">
        <w:rPr>
          <w:rFonts w:ascii="Calibri Light" w:eastAsia="MS Mincho" w:hAnsi="Calibri Light" w:cs="Arial"/>
        </w:rPr>
        <w:t>Manage the</w:t>
      </w:r>
      <w:r w:rsidR="00BA216C">
        <w:rPr>
          <w:rFonts w:ascii="Calibri Light" w:eastAsia="MS Mincho" w:hAnsi="Calibri Light" w:cs="Arial"/>
        </w:rPr>
        <w:t xml:space="preserve"> logistics of the</w:t>
      </w:r>
      <w:r w:rsidRPr="00BB1539">
        <w:rPr>
          <w:rFonts w:ascii="Calibri Light" w:eastAsia="MS Mincho" w:hAnsi="Calibri Light" w:cs="Arial"/>
        </w:rPr>
        <w:t xml:space="preserve"> Hot Berthing program</w:t>
      </w:r>
      <w:r>
        <w:rPr>
          <w:rFonts w:ascii="Calibri Light" w:eastAsia="MS Mincho" w:hAnsi="Calibri Light" w:cs="Arial"/>
        </w:rPr>
        <w:t>.</w:t>
      </w:r>
    </w:p>
    <w:p w14:paraId="7E3DB994" w14:textId="77777777" w:rsidR="00D52141" w:rsidRPr="00BB1539" w:rsidRDefault="00D52141" w:rsidP="00D52141">
      <w:pPr>
        <w:pStyle w:val="NormalWeb"/>
        <w:numPr>
          <w:ilvl w:val="1"/>
          <w:numId w:val="10"/>
        </w:numPr>
        <w:spacing w:before="240" w:beforeAutospacing="0" w:after="0" w:afterAutospacing="0"/>
        <w:ind w:left="1080"/>
        <w:jc w:val="both"/>
        <w:rPr>
          <w:rFonts w:ascii="Calibri Light" w:eastAsia="MS Mincho" w:hAnsi="Calibri Light" w:cs="Arial"/>
        </w:rPr>
      </w:pPr>
      <w:r>
        <w:rPr>
          <w:rFonts w:ascii="Calibri Light" w:eastAsia="MS Mincho" w:hAnsi="Calibri Light" w:cs="Arial"/>
        </w:rPr>
        <w:t>Conduct inspections of Transient vessels.</w:t>
      </w:r>
    </w:p>
    <w:p w14:paraId="21055EA0" w14:textId="77777777" w:rsidR="00D52141" w:rsidRDefault="00D52141" w:rsidP="00D52141">
      <w:pPr>
        <w:pStyle w:val="NormalWeb"/>
        <w:numPr>
          <w:ilvl w:val="1"/>
          <w:numId w:val="10"/>
        </w:numPr>
        <w:spacing w:before="240" w:beforeAutospacing="0" w:after="0" w:afterAutospacing="0"/>
        <w:ind w:left="1080"/>
        <w:jc w:val="both"/>
        <w:rPr>
          <w:rFonts w:ascii="Calibri Light" w:eastAsia="MS Mincho" w:hAnsi="Calibri Light" w:cs="Arial"/>
        </w:rPr>
      </w:pPr>
      <w:r>
        <w:rPr>
          <w:rFonts w:ascii="Calibri Light" w:eastAsia="MS Mincho" w:hAnsi="Calibri Light" w:cs="Arial"/>
        </w:rPr>
        <w:t xml:space="preserve">Provide a minimum of 15 </w:t>
      </w:r>
      <w:r w:rsidR="00BA216C">
        <w:rPr>
          <w:rFonts w:ascii="Calibri Light" w:eastAsia="MS Mincho" w:hAnsi="Calibri Light" w:cs="Arial"/>
        </w:rPr>
        <w:t xml:space="preserve">days </w:t>
      </w:r>
      <w:r>
        <w:rPr>
          <w:rFonts w:ascii="Calibri Light" w:eastAsia="MS Mincho" w:hAnsi="Calibri Light" w:cs="Arial"/>
        </w:rPr>
        <w:t>notice to Transients to vacate an assigned berth.</w:t>
      </w:r>
    </w:p>
    <w:p w14:paraId="660BDD57" w14:textId="77777777" w:rsidR="00D52141" w:rsidRPr="00D52141" w:rsidRDefault="00D52141" w:rsidP="00D52141">
      <w:pPr>
        <w:pStyle w:val="NormalWeb"/>
        <w:numPr>
          <w:ilvl w:val="1"/>
          <w:numId w:val="10"/>
        </w:numPr>
        <w:spacing w:before="240" w:beforeAutospacing="0" w:after="0" w:afterAutospacing="0"/>
        <w:ind w:left="1080"/>
        <w:jc w:val="both"/>
        <w:rPr>
          <w:rFonts w:ascii="Calibri Light" w:eastAsia="MS Mincho" w:hAnsi="Calibri Light" w:cs="Arial"/>
        </w:rPr>
      </w:pPr>
      <w:r>
        <w:rPr>
          <w:rFonts w:ascii="Calibri Light" w:eastAsia="MS Mincho" w:hAnsi="Calibri Light" w:cs="Arial"/>
        </w:rPr>
        <w:t xml:space="preserve">Administer credits to Permanent </w:t>
      </w:r>
      <w:r w:rsidR="005B34A7">
        <w:rPr>
          <w:rFonts w:ascii="Calibri Light" w:eastAsia="MS Mincho" w:hAnsi="Calibri Light" w:cs="Arial"/>
        </w:rPr>
        <w:t>Licensee</w:t>
      </w:r>
      <w:r>
        <w:rPr>
          <w:rFonts w:ascii="Calibri Light" w:eastAsia="MS Mincho" w:hAnsi="Calibri Light" w:cs="Arial"/>
        </w:rPr>
        <w:t xml:space="preserve">s taking part in the Hot Berthing program. </w:t>
      </w:r>
    </w:p>
    <w:p w14:paraId="70373BCD" w14:textId="77777777" w:rsidR="00D52141" w:rsidRPr="00D52141" w:rsidRDefault="00D52141" w:rsidP="00D52141">
      <w:pPr>
        <w:pStyle w:val="NormalWeb"/>
        <w:numPr>
          <w:ilvl w:val="0"/>
          <w:numId w:val="10"/>
        </w:numPr>
        <w:spacing w:before="240" w:beforeAutospacing="0" w:after="0" w:afterAutospacing="0"/>
        <w:jc w:val="both"/>
        <w:rPr>
          <w:rFonts w:ascii="Calibri" w:eastAsia="MS Mincho" w:hAnsi="Calibri" w:cs="Arial"/>
        </w:rPr>
      </w:pPr>
      <w:r>
        <w:rPr>
          <w:rFonts w:ascii="Calibri" w:eastAsia="MS Mincho" w:hAnsi="Calibri" w:cs="Arial"/>
        </w:rPr>
        <w:t>General</w:t>
      </w:r>
    </w:p>
    <w:p w14:paraId="11FE2894" w14:textId="77777777" w:rsidR="006B1493" w:rsidRDefault="006B1493"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sidRPr="000213CC">
        <w:rPr>
          <w:rFonts w:ascii="Calibri Light" w:eastAsia="MS Mincho" w:hAnsi="Calibri Light" w:cs="Arial"/>
          <w:sz w:val="24"/>
          <w:szCs w:val="24"/>
        </w:rPr>
        <w:t>Hot Berthing Agreements will not be accepted for a pe</w:t>
      </w:r>
      <w:r w:rsidR="000213CC" w:rsidRPr="000213CC">
        <w:rPr>
          <w:rFonts w:ascii="Calibri Light" w:eastAsia="MS Mincho" w:hAnsi="Calibri Light" w:cs="Arial"/>
          <w:sz w:val="24"/>
          <w:szCs w:val="24"/>
        </w:rPr>
        <w:t xml:space="preserve">riod </w:t>
      </w:r>
      <w:r w:rsidR="001334A1">
        <w:rPr>
          <w:rFonts w:ascii="Calibri Light" w:eastAsia="MS Mincho" w:hAnsi="Calibri Light" w:cs="Arial"/>
          <w:sz w:val="24"/>
          <w:szCs w:val="24"/>
        </w:rPr>
        <w:t xml:space="preserve">of </w:t>
      </w:r>
      <w:r w:rsidR="000213CC" w:rsidRPr="000213CC">
        <w:rPr>
          <w:rFonts w:ascii="Calibri Light" w:eastAsia="MS Mincho" w:hAnsi="Calibri Light" w:cs="Arial"/>
          <w:sz w:val="24"/>
          <w:szCs w:val="24"/>
        </w:rPr>
        <w:t xml:space="preserve">less than </w:t>
      </w:r>
      <w:r w:rsidR="00D10F7C">
        <w:rPr>
          <w:rFonts w:ascii="Calibri Light" w:eastAsia="MS Mincho" w:hAnsi="Calibri Light" w:cs="Arial"/>
          <w:sz w:val="24"/>
          <w:szCs w:val="24"/>
        </w:rPr>
        <w:t>one month</w:t>
      </w:r>
      <w:r w:rsidRPr="000213CC">
        <w:rPr>
          <w:rFonts w:ascii="Calibri Light" w:eastAsia="MS Mincho" w:hAnsi="Calibri Light" w:cs="Arial"/>
          <w:sz w:val="24"/>
          <w:szCs w:val="24"/>
        </w:rPr>
        <w:t>.</w:t>
      </w:r>
    </w:p>
    <w:p w14:paraId="5E67680A" w14:textId="77777777" w:rsidR="00D10F7C" w:rsidRPr="000213CC" w:rsidRDefault="001334A1"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Pr>
          <w:rFonts w:ascii="Calibri Light" w:eastAsia="MS Mincho" w:hAnsi="Calibri Light" w:cs="Arial"/>
          <w:sz w:val="24"/>
          <w:szCs w:val="24"/>
        </w:rPr>
        <w:t>Inspections may be conducted on vessels moored for more than a month.</w:t>
      </w:r>
    </w:p>
    <w:p w14:paraId="400F4344" w14:textId="77777777" w:rsidR="00266605" w:rsidRDefault="00266605"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Pr>
          <w:rFonts w:ascii="Calibri Light" w:eastAsia="MS Mincho" w:hAnsi="Calibri Light" w:cs="Arial"/>
          <w:sz w:val="24"/>
          <w:szCs w:val="24"/>
        </w:rPr>
        <w:t xml:space="preserve">Credits issued will be equivalent to the time a berth is occupied by a Transient </w:t>
      </w:r>
      <w:r w:rsidR="005B34A7">
        <w:rPr>
          <w:rFonts w:ascii="Calibri Light" w:eastAsia="MS Mincho" w:hAnsi="Calibri Light" w:cs="Arial"/>
          <w:sz w:val="24"/>
          <w:szCs w:val="24"/>
        </w:rPr>
        <w:t>Licensee</w:t>
      </w:r>
      <w:r>
        <w:rPr>
          <w:rFonts w:ascii="Calibri Light" w:eastAsia="MS Mincho" w:hAnsi="Calibri Light" w:cs="Arial"/>
          <w:sz w:val="24"/>
          <w:szCs w:val="24"/>
        </w:rPr>
        <w:t>, multiplied by the permanent moorage rate.</w:t>
      </w:r>
      <w:r w:rsidR="00BA216C">
        <w:rPr>
          <w:rFonts w:ascii="Calibri Light" w:eastAsia="MS Mincho" w:hAnsi="Calibri Light" w:cs="Arial"/>
          <w:sz w:val="24"/>
          <w:szCs w:val="24"/>
        </w:rPr>
        <w:t xml:space="preserve"> Daily </w:t>
      </w:r>
      <w:r w:rsidR="00A039E9">
        <w:rPr>
          <w:rFonts w:ascii="Calibri Light" w:eastAsia="MS Mincho" w:hAnsi="Calibri Light" w:cs="Arial"/>
          <w:sz w:val="24"/>
          <w:szCs w:val="24"/>
        </w:rPr>
        <w:t>and/</w:t>
      </w:r>
      <w:r w:rsidR="00BA216C">
        <w:rPr>
          <w:rFonts w:ascii="Calibri Light" w:eastAsia="MS Mincho" w:hAnsi="Calibri Light" w:cs="Arial"/>
          <w:sz w:val="24"/>
          <w:szCs w:val="24"/>
        </w:rPr>
        <w:t>or monthly rates may apply.</w:t>
      </w:r>
    </w:p>
    <w:p w14:paraId="2494564E" w14:textId="77777777" w:rsidR="00CF512C" w:rsidRPr="000213CC" w:rsidRDefault="00CF512C"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sidRPr="000213CC">
        <w:rPr>
          <w:rFonts w:ascii="Calibri Light" w:eastAsia="MS Mincho" w:hAnsi="Calibri Light" w:cs="Arial"/>
          <w:sz w:val="24"/>
          <w:szCs w:val="24"/>
        </w:rPr>
        <w:t xml:space="preserve">In the event a Permanent </w:t>
      </w:r>
      <w:r w:rsidR="005B34A7">
        <w:rPr>
          <w:rFonts w:ascii="Calibri Light" w:eastAsia="MS Mincho" w:hAnsi="Calibri Light" w:cs="Arial"/>
          <w:sz w:val="24"/>
          <w:szCs w:val="24"/>
        </w:rPr>
        <w:t>Licensee</w:t>
      </w:r>
      <w:r w:rsidR="00FF4716" w:rsidRPr="000213CC">
        <w:rPr>
          <w:rFonts w:ascii="Calibri Light" w:eastAsia="MS Mincho" w:hAnsi="Calibri Light" w:cs="Arial"/>
          <w:sz w:val="24"/>
          <w:szCs w:val="24"/>
        </w:rPr>
        <w:t xml:space="preserve"> returns to port </w:t>
      </w:r>
      <w:r w:rsidR="00E53410">
        <w:rPr>
          <w:rFonts w:ascii="Calibri Light" w:eastAsia="MS Mincho" w:hAnsi="Calibri Light" w:cs="Arial"/>
          <w:sz w:val="24"/>
          <w:szCs w:val="24"/>
        </w:rPr>
        <w:t>prior to the return date given</w:t>
      </w:r>
      <w:r w:rsidRPr="000213CC">
        <w:rPr>
          <w:rFonts w:ascii="Calibri Light" w:eastAsia="MS Mincho" w:hAnsi="Calibri Light" w:cs="Arial"/>
          <w:sz w:val="24"/>
          <w:szCs w:val="24"/>
        </w:rPr>
        <w:t xml:space="preserve">, </w:t>
      </w:r>
      <w:r w:rsidR="0049014E">
        <w:rPr>
          <w:rFonts w:ascii="Calibri Light" w:eastAsia="MS Mincho" w:hAnsi="Calibri Light" w:cs="Arial"/>
          <w:sz w:val="24"/>
          <w:szCs w:val="24"/>
        </w:rPr>
        <w:t>he/she</w:t>
      </w:r>
      <w:r w:rsidR="000C6CBA" w:rsidRPr="000213CC">
        <w:rPr>
          <w:rFonts w:ascii="Calibri Light" w:eastAsia="MS Mincho" w:hAnsi="Calibri Light" w:cs="Arial"/>
          <w:sz w:val="24"/>
          <w:szCs w:val="24"/>
        </w:rPr>
        <w:t xml:space="preserve"> will </w:t>
      </w:r>
      <w:r w:rsidR="003C787D" w:rsidRPr="000213CC">
        <w:rPr>
          <w:rFonts w:ascii="Calibri Light" w:eastAsia="MS Mincho" w:hAnsi="Calibri Light" w:cs="Arial"/>
          <w:sz w:val="24"/>
          <w:szCs w:val="24"/>
        </w:rPr>
        <w:t>have to make alternate arrangements</w:t>
      </w:r>
      <w:r w:rsidR="00D406BF">
        <w:rPr>
          <w:rFonts w:ascii="Calibri Light" w:eastAsia="MS Mincho" w:hAnsi="Calibri Light" w:cs="Arial"/>
          <w:sz w:val="24"/>
          <w:szCs w:val="24"/>
        </w:rPr>
        <w:t xml:space="preserve"> until the end of the term set forth in the Hot Berthing Agreement</w:t>
      </w:r>
      <w:r w:rsidR="000C6CBA" w:rsidRPr="000213CC">
        <w:rPr>
          <w:rFonts w:ascii="Calibri Light" w:eastAsia="MS Mincho" w:hAnsi="Calibri Light" w:cs="Arial"/>
          <w:sz w:val="24"/>
          <w:szCs w:val="24"/>
        </w:rPr>
        <w:t>.</w:t>
      </w:r>
    </w:p>
    <w:p w14:paraId="69BFB691" w14:textId="1158B02F" w:rsidR="00BC7815" w:rsidRDefault="00266605"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Pr>
          <w:rFonts w:ascii="Calibri Light" w:eastAsia="MS Mincho" w:hAnsi="Calibri Light" w:cs="Arial"/>
          <w:sz w:val="24"/>
          <w:szCs w:val="24"/>
        </w:rPr>
        <w:lastRenderedPageBreak/>
        <w:t>Transients who remain in a berth after the date of termination will be moved to the Guest</w:t>
      </w:r>
      <w:r w:rsidR="00CF512C">
        <w:rPr>
          <w:rFonts w:ascii="Calibri Light" w:eastAsia="MS Mincho" w:hAnsi="Calibri Light" w:cs="Arial"/>
          <w:sz w:val="24"/>
          <w:szCs w:val="24"/>
        </w:rPr>
        <w:t xml:space="preserve"> Moorage facility and impounded</w:t>
      </w:r>
      <w:r>
        <w:rPr>
          <w:rFonts w:ascii="Calibri Light" w:eastAsia="MS Mincho" w:hAnsi="Calibri Light" w:cs="Arial"/>
          <w:sz w:val="24"/>
          <w:szCs w:val="24"/>
        </w:rPr>
        <w:t>, where they will accrue daily guest moorage fees</w:t>
      </w:r>
      <w:r w:rsidR="00CF584C">
        <w:rPr>
          <w:rFonts w:ascii="Calibri Light" w:eastAsia="MS Mincho" w:hAnsi="Calibri Light" w:cs="Arial"/>
          <w:sz w:val="24"/>
          <w:szCs w:val="24"/>
        </w:rPr>
        <w:t xml:space="preserve"> and impound fees.</w:t>
      </w:r>
    </w:p>
    <w:p w14:paraId="126BB512" w14:textId="39AC2384" w:rsidR="0052464F" w:rsidRPr="00266605" w:rsidRDefault="0052464F" w:rsidP="003B2082">
      <w:pPr>
        <w:pStyle w:val="ListParagraph"/>
        <w:numPr>
          <w:ilvl w:val="0"/>
          <w:numId w:val="21"/>
        </w:numPr>
        <w:spacing w:before="240" w:after="0" w:line="240" w:lineRule="auto"/>
        <w:ind w:left="1080"/>
        <w:contextualSpacing w:val="0"/>
        <w:jc w:val="both"/>
        <w:rPr>
          <w:rFonts w:ascii="Calibri Light" w:eastAsia="MS Mincho" w:hAnsi="Calibri Light" w:cs="Arial"/>
          <w:sz w:val="24"/>
          <w:szCs w:val="24"/>
        </w:rPr>
      </w:pPr>
      <w:r w:rsidRPr="0052464F">
        <w:rPr>
          <w:rFonts w:ascii="Calibri Light" w:eastAsia="MS Mincho" w:hAnsi="Calibri Light" w:cs="Arial"/>
          <w:color w:val="FF0000"/>
          <w:sz w:val="24"/>
          <w:szCs w:val="24"/>
        </w:rPr>
        <w:t>Hot Berthing during peak season (May 1</w:t>
      </w:r>
      <w:r w:rsidRPr="0052464F">
        <w:rPr>
          <w:rFonts w:ascii="Calibri Light" w:eastAsia="MS Mincho" w:hAnsi="Calibri Light" w:cs="Arial"/>
          <w:color w:val="FF0000"/>
          <w:sz w:val="24"/>
          <w:szCs w:val="24"/>
          <w:vertAlign w:val="superscript"/>
        </w:rPr>
        <w:t>st</w:t>
      </w:r>
      <w:r w:rsidRPr="0052464F">
        <w:rPr>
          <w:rFonts w:ascii="Calibri Light" w:eastAsia="MS Mincho" w:hAnsi="Calibri Light" w:cs="Arial"/>
          <w:color w:val="FF0000"/>
          <w:sz w:val="24"/>
          <w:szCs w:val="24"/>
        </w:rPr>
        <w:t xml:space="preserve"> – September 30</w:t>
      </w:r>
      <w:r w:rsidRPr="0052464F">
        <w:rPr>
          <w:rFonts w:ascii="Calibri Light" w:eastAsia="MS Mincho" w:hAnsi="Calibri Light" w:cs="Arial"/>
          <w:color w:val="FF0000"/>
          <w:sz w:val="24"/>
          <w:szCs w:val="24"/>
          <w:vertAlign w:val="superscript"/>
        </w:rPr>
        <w:t>th</w:t>
      </w:r>
      <w:r w:rsidRPr="0052464F">
        <w:rPr>
          <w:rFonts w:ascii="Calibri Light" w:eastAsia="MS Mincho" w:hAnsi="Calibri Light" w:cs="Arial"/>
          <w:color w:val="FF0000"/>
          <w:sz w:val="24"/>
          <w:szCs w:val="24"/>
        </w:rPr>
        <w:t>) is preferred so licensees can benefit</w:t>
      </w:r>
      <w:r>
        <w:rPr>
          <w:rFonts w:ascii="Calibri Light" w:eastAsia="MS Mincho" w:hAnsi="Calibri Light" w:cs="Arial"/>
          <w:color w:val="FF0000"/>
          <w:sz w:val="24"/>
          <w:szCs w:val="24"/>
        </w:rPr>
        <w:t xml:space="preserve"> from this program. During the off-season (October 1</w:t>
      </w:r>
      <w:r w:rsidRPr="0052464F">
        <w:rPr>
          <w:rFonts w:ascii="Calibri Light" w:eastAsia="MS Mincho" w:hAnsi="Calibri Light" w:cs="Arial"/>
          <w:color w:val="FF0000"/>
          <w:sz w:val="24"/>
          <w:szCs w:val="24"/>
          <w:vertAlign w:val="superscript"/>
        </w:rPr>
        <w:t>st</w:t>
      </w:r>
      <w:r>
        <w:rPr>
          <w:rFonts w:ascii="Calibri Light" w:eastAsia="MS Mincho" w:hAnsi="Calibri Light" w:cs="Arial"/>
          <w:color w:val="FF0000"/>
          <w:sz w:val="24"/>
          <w:szCs w:val="24"/>
        </w:rPr>
        <w:t xml:space="preserve"> – April 30</w:t>
      </w:r>
      <w:r w:rsidRPr="0052464F">
        <w:rPr>
          <w:rFonts w:ascii="Calibri Light" w:eastAsia="MS Mincho" w:hAnsi="Calibri Light" w:cs="Arial"/>
          <w:color w:val="FF0000"/>
          <w:sz w:val="24"/>
          <w:szCs w:val="24"/>
          <w:vertAlign w:val="superscript"/>
        </w:rPr>
        <w:t>th</w:t>
      </w:r>
      <w:r>
        <w:rPr>
          <w:rFonts w:ascii="Calibri Light" w:eastAsia="MS Mincho" w:hAnsi="Calibri Light" w:cs="Arial"/>
          <w:color w:val="FF0000"/>
          <w:sz w:val="24"/>
          <w:szCs w:val="24"/>
        </w:rPr>
        <w:t>), Winter Moorage takes precedence over the Hot Berthing program. Hot Berthing will only be allowed if Winter Moorage is full.</w:t>
      </w:r>
    </w:p>
    <w:sectPr w:rsidR="0052464F" w:rsidRPr="00266605" w:rsidSect="001D3A7D">
      <w:footerReference w:type="default" r:id="rId14"/>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409" w14:textId="77777777" w:rsidR="00D10F7C" w:rsidRPr="005701B7" w:rsidRDefault="00D10F7C" w:rsidP="009A2769">
      <w:pPr>
        <w:spacing w:after="0" w:line="240" w:lineRule="auto"/>
        <w:rPr>
          <w:szCs w:val="24"/>
        </w:rPr>
      </w:pPr>
      <w:r>
        <w:separator/>
      </w:r>
    </w:p>
  </w:endnote>
  <w:endnote w:type="continuationSeparator" w:id="0">
    <w:p w14:paraId="67DB332F" w14:textId="77777777" w:rsidR="00D10F7C" w:rsidRPr="005701B7" w:rsidRDefault="00D10F7C" w:rsidP="009A2769">
      <w:pPr>
        <w:spacing w:after="0"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962B" w14:textId="77777777" w:rsidR="00D10F7C" w:rsidRDefault="00D10F7C">
    <w:pPr>
      <w:pStyle w:val="Footer"/>
      <w:pBdr>
        <w:top w:val="thinThickSmallGap" w:sz="24" w:space="1" w:color="622423" w:themeColor="accent2" w:themeShade="7F"/>
      </w:pBdr>
      <w:rPr>
        <w:rFonts w:asciiTheme="majorHAnsi" w:hAnsiTheme="majorHAnsi"/>
      </w:rPr>
    </w:pPr>
    <w:r>
      <w:rPr>
        <w:rFonts w:asciiTheme="majorHAnsi" w:hAnsiTheme="majorHAnsi"/>
      </w:rPr>
      <w:t>Port of Poulsbo – Hot Berthing Policy</w:t>
    </w:r>
    <w:r>
      <w:rPr>
        <w:rFonts w:asciiTheme="majorHAnsi" w:hAnsiTheme="majorHAnsi"/>
      </w:rPr>
      <w:ptab w:relativeTo="margin" w:alignment="right" w:leader="none"/>
    </w:r>
    <w:r>
      <w:rPr>
        <w:rFonts w:asciiTheme="majorHAnsi" w:hAnsiTheme="majorHAnsi"/>
      </w:rPr>
      <w:t xml:space="preserve">Page </w:t>
    </w:r>
    <w:r w:rsidR="001E0202">
      <w:fldChar w:fldCharType="begin"/>
    </w:r>
    <w:r w:rsidR="001E0202">
      <w:instrText xml:space="preserve"> PAGE   \* MERGEFORMAT </w:instrText>
    </w:r>
    <w:r w:rsidR="001E0202">
      <w:fldChar w:fldCharType="separate"/>
    </w:r>
    <w:r w:rsidR="00FA30D2" w:rsidRPr="00FA30D2">
      <w:rPr>
        <w:rFonts w:asciiTheme="majorHAnsi" w:hAnsiTheme="majorHAnsi"/>
        <w:noProof/>
      </w:rPr>
      <w:t>3</w:t>
    </w:r>
    <w:r w:rsidR="001E0202">
      <w:rPr>
        <w:rFonts w:asciiTheme="majorHAnsi" w:hAnsiTheme="majorHAnsi"/>
        <w:noProof/>
      </w:rPr>
      <w:fldChar w:fldCharType="end"/>
    </w:r>
  </w:p>
  <w:p w14:paraId="4BA4D9DE" w14:textId="77777777" w:rsidR="00D10F7C" w:rsidRDefault="00D1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9B4D" w14:textId="77777777" w:rsidR="00D10F7C" w:rsidRPr="005701B7" w:rsidRDefault="00D10F7C" w:rsidP="009A2769">
      <w:pPr>
        <w:spacing w:after="0" w:line="240" w:lineRule="auto"/>
        <w:rPr>
          <w:szCs w:val="24"/>
        </w:rPr>
      </w:pPr>
      <w:r>
        <w:separator/>
      </w:r>
    </w:p>
  </w:footnote>
  <w:footnote w:type="continuationSeparator" w:id="0">
    <w:p w14:paraId="2A1BBE2F" w14:textId="77777777" w:rsidR="00D10F7C" w:rsidRPr="005701B7" w:rsidRDefault="00D10F7C" w:rsidP="009A2769">
      <w:pPr>
        <w:spacing w:after="0" w:line="240" w:lineRule="auto"/>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2AD"/>
    <w:multiLevelType w:val="hybridMultilevel"/>
    <w:tmpl w:val="5C384DFE"/>
    <w:lvl w:ilvl="0" w:tplc="9314F7A2">
      <w:start w:val="1"/>
      <w:numFmt w:val="decimal"/>
      <w:lvlText w:val="%1."/>
      <w:lvlJc w:val="left"/>
      <w:pPr>
        <w:tabs>
          <w:tab w:val="num" w:pos="1080"/>
        </w:tabs>
        <w:ind w:left="1080" w:hanging="360"/>
      </w:pPr>
      <w:rPr>
        <w:b w:val="0"/>
      </w:rPr>
    </w:lvl>
    <w:lvl w:ilvl="1" w:tplc="F4D05BB4">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585A2C"/>
    <w:multiLevelType w:val="hybridMultilevel"/>
    <w:tmpl w:val="18AA95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D499F"/>
    <w:multiLevelType w:val="hybridMultilevel"/>
    <w:tmpl w:val="2830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2057"/>
    <w:multiLevelType w:val="hybridMultilevel"/>
    <w:tmpl w:val="D75EB4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33278"/>
    <w:multiLevelType w:val="hybridMultilevel"/>
    <w:tmpl w:val="C4E62666"/>
    <w:lvl w:ilvl="0" w:tplc="0409000F">
      <w:start w:val="1"/>
      <w:numFmt w:val="decimal"/>
      <w:lvlText w:val="%1."/>
      <w:lvlJc w:val="left"/>
      <w:pPr>
        <w:ind w:left="1080" w:hanging="360"/>
      </w:pPr>
    </w:lvl>
    <w:lvl w:ilvl="1" w:tplc="EBA80932">
      <w:start w:val="1"/>
      <w:numFmt w:val="lowerLetter"/>
      <w:lvlText w:val="%2."/>
      <w:lvlJc w:val="left"/>
      <w:pPr>
        <w:ind w:left="1800" w:hanging="360"/>
      </w:pPr>
      <w:rPr>
        <w:rFonts w:hint="default"/>
        <w:spacing w:val="0"/>
        <w:kern w:val="0"/>
        <w:position w:val="0"/>
      </w:rPr>
    </w:lvl>
    <w:lvl w:ilvl="2" w:tplc="0409001B">
      <w:start w:val="1"/>
      <w:numFmt w:val="lowerRoman"/>
      <w:lvlText w:val="%3."/>
      <w:lvlJc w:val="right"/>
      <w:pPr>
        <w:ind w:left="2520" w:hanging="180"/>
      </w:pPr>
    </w:lvl>
    <w:lvl w:ilvl="3" w:tplc="D108A326">
      <w:start w:val="1"/>
      <w:numFmt w:val="decimal"/>
      <w:lvlText w:val="(%4)"/>
      <w:lvlJc w:val="left"/>
      <w:pPr>
        <w:ind w:left="3240" w:hanging="360"/>
      </w:pPr>
      <w:rPr>
        <w:rFonts w:ascii="Arial" w:eastAsia="MS Mincho" w:hAnsi="Arial" w:cs="Arial"/>
      </w:rPr>
    </w:lvl>
    <w:lvl w:ilvl="4" w:tplc="87CAE102">
      <w:start w:val="1"/>
      <w:numFmt w:val="lowerLetter"/>
      <w:lvlText w:val="%5."/>
      <w:lvlJc w:val="left"/>
      <w:pPr>
        <w:ind w:left="3960" w:hanging="360"/>
      </w:pPr>
      <w:rPr>
        <w:rFonts w:hint="default"/>
      </w:rPr>
    </w:lvl>
    <w:lvl w:ilvl="5" w:tplc="0298CBA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912B9"/>
    <w:multiLevelType w:val="hybridMultilevel"/>
    <w:tmpl w:val="FF62D8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0044A"/>
    <w:multiLevelType w:val="hybridMultilevel"/>
    <w:tmpl w:val="68168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84984"/>
    <w:multiLevelType w:val="hybridMultilevel"/>
    <w:tmpl w:val="361C1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CA62A3"/>
    <w:multiLevelType w:val="hybridMultilevel"/>
    <w:tmpl w:val="BED473B4"/>
    <w:lvl w:ilvl="0" w:tplc="0409000F">
      <w:start w:val="1"/>
      <w:numFmt w:val="decimal"/>
      <w:lvlText w:val="%1."/>
      <w:lvlJc w:val="left"/>
      <w:pPr>
        <w:ind w:left="1080" w:hanging="360"/>
      </w:pPr>
    </w:lvl>
    <w:lvl w:ilvl="1" w:tplc="EBA80932">
      <w:start w:val="1"/>
      <w:numFmt w:val="lowerLetter"/>
      <w:lvlText w:val="%2."/>
      <w:lvlJc w:val="left"/>
      <w:pPr>
        <w:ind w:left="1800" w:hanging="360"/>
      </w:pPr>
      <w:rPr>
        <w:rFonts w:hint="default"/>
        <w:spacing w:val="0"/>
        <w:kern w:val="0"/>
        <w:position w:val="0"/>
      </w:rPr>
    </w:lvl>
    <w:lvl w:ilvl="2" w:tplc="0409001B">
      <w:start w:val="1"/>
      <w:numFmt w:val="lowerRoman"/>
      <w:lvlText w:val="%3."/>
      <w:lvlJc w:val="right"/>
      <w:pPr>
        <w:ind w:left="2520" w:hanging="180"/>
      </w:pPr>
    </w:lvl>
    <w:lvl w:ilvl="3" w:tplc="D108A326">
      <w:start w:val="1"/>
      <w:numFmt w:val="decimal"/>
      <w:lvlText w:val="(%4)"/>
      <w:lvlJc w:val="left"/>
      <w:pPr>
        <w:ind w:left="3240" w:hanging="360"/>
      </w:pPr>
      <w:rPr>
        <w:rFonts w:ascii="Arial" w:eastAsia="MS Mincho" w:hAnsi="Arial" w:cs="Arial"/>
      </w:rPr>
    </w:lvl>
    <w:lvl w:ilvl="4" w:tplc="87CAE102">
      <w:start w:val="1"/>
      <w:numFmt w:val="lowerLetter"/>
      <w:lvlText w:val="%5."/>
      <w:lvlJc w:val="left"/>
      <w:pPr>
        <w:ind w:left="3960" w:hanging="360"/>
      </w:pPr>
      <w:rPr>
        <w:rFonts w:hint="default"/>
      </w:rPr>
    </w:lvl>
    <w:lvl w:ilvl="5" w:tplc="0298CBA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065F14"/>
    <w:multiLevelType w:val="hybridMultilevel"/>
    <w:tmpl w:val="A7D2C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2A76"/>
    <w:multiLevelType w:val="hybridMultilevel"/>
    <w:tmpl w:val="42A2A3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23D2A"/>
    <w:multiLevelType w:val="hybridMultilevel"/>
    <w:tmpl w:val="57BAE4B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92655"/>
    <w:multiLevelType w:val="hybridMultilevel"/>
    <w:tmpl w:val="C5D86980"/>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327C9"/>
    <w:multiLevelType w:val="hybridMultilevel"/>
    <w:tmpl w:val="31B6867C"/>
    <w:lvl w:ilvl="0" w:tplc="DB748326">
      <w:start w:val="1"/>
      <w:numFmt w:val="decimal"/>
      <w:lvlText w:val="%1."/>
      <w:lvlJc w:val="left"/>
      <w:pPr>
        <w:tabs>
          <w:tab w:val="num" w:pos="1080"/>
        </w:tabs>
        <w:ind w:left="1080" w:hanging="360"/>
      </w:pPr>
      <w:rPr>
        <w:b w:val="0"/>
      </w:rPr>
    </w:lvl>
    <w:lvl w:ilvl="1" w:tplc="F4D05BB4">
      <w:start w:val="1"/>
      <w:numFmt w:val="lowerLetter"/>
      <w:lvlText w:val="%2."/>
      <w:lvlJc w:val="left"/>
      <w:pPr>
        <w:tabs>
          <w:tab w:val="num" w:pos="1800"/>
        </w:tabs>
        <w:ind w:left="1800" w:hanging="360"/>
      </w:pPr>
      <w:rPr>
        <w:b w:val="0"/>
      </w:rPr>
    </w:lvl>
    <w:lvl w:ilvl="2" w:tplc="7DD25A1C">
      <w:start w:val="1"/>
      <w:numFmt w:val="lowerLetter"/>
      <w:lvlText w:val="%3."/>
      <w:lvlJc w:val="right"/>
      <w:pPr>
        <w:tabs>
          <w:tab w:val="num" w:pos="2520"/>
        </w:tabs>
        <w:ind w:left="2520" w:hanging="180"/>
      </w:pPr>
      <w:rPr>
        <w:rFonts w:ascii="Arial" w:eastAsia="MS Mincho" w:hAnsi="Arial" w:cs="Arial"/>
      </w:rPr>
    </w:lvl>
    <w:lvl w:ilvl="3" w:tplc="D108A326">
      <w:start w:val="1"/>
      <w:numFmt w:val="decimal"/>
      <w:lvlText w:val="(%4)"/>
      <w:lvlJc w:val="left"/>
      <w:pPr>
        <w:tabs>
          <w:tab w:val="num" w:pos="3240"/>
        </w:tabs>
        <w:ind w:left="3240" w:hanging="360"/>
      </w:pPr>
      <w:rPr>
        <w:rFonts w:ascii="Arial" w:eastAsia="MS Mincho" w:hAnsi="Arial" w:cs="Aria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4D0483"/>
    <w:multiLevelType w:val="hybridMultilevel"/>
    <w:tmpl w:val="626C392C"/>
    <w:lvl w:ilvl="0" w:tplc="08FC1C0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BA0BA9"/>
    <w:multiLevelType w:val="hybridMultilevel"/>
    <w:tmpl w:val="2CBC79BA"/>
    <w:lvl w:ilvl="0" w:tplc="6B16C746">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C0A70"/>
    <w:multiLevelType w:val="hybridMultilevel"/>
    <w:tmpl w:val="3ADC96AC"/>
    <w:lvl w:ilvl="0" w:tplc="B72C94B6">
      <w:start w:val="1"/>
      <w:numFmt w:val="lowerRoman"/>
      <w:lvlText w:val="%1."/>
      <w:lvlJc w:val="left"/>
      <w:pPr>
        <w:tabs>
          <w:tab w:val="num" w:pos="1800"/>
        </w:tabs>
        <w:ind w:left="1800" w:hanging="360"/>
      </w:pPr>
      <w:rPr>
        <w:rFonts w:ascii="Arial" w:eastAsia="MS Mincho" w:hAnsi="Arial" w:cs="Arial"/>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1B81FDF"/>
    <w:multiLevelType w:val="hybridMultilevel"/>
    <w:tmpl w:val="4762FD04"/>
    <w:lvl w:ilvl="0" w:tplc="0409000F">
      <w:start w:val="1"/>
      <w:numFmt w:val="decimal"/>
      <w:lvlText w:val="%1."/>
      <w:lvlJc w:val="left"/>
      <w:pPr>
        <w:ind w:left="1080" w:hanging="360"/>
      </w:pPr>
    </w:lvl>
    <w:lvl w:ilvl="1" w:tplc="EBA80932">
      <w:start w:val="1"/>
      <w:numFmt w:val="lowerLetter"/>
      <w:lvlText w:val="%2."/>
      <w:lvlJc w:val="left"/>
      <w:pPr>
        <w:ind w:left="1800" w:hanging="360"/>
      </w:pPr>
      <w:rPr>
        <w:rFonts w:hint="default"/>
        <w:spacing w:val="0"/>
        <w:kern w:val="0"/>
        <w:position w:val="0"/>
      </w:rPr>
    </w:lvl>
    <w:lvl w:ilvl="2" w:tplc="0409001B">
      <w:start w:val="1"/>
      <w:numFmt w:val="lowerRoman"/>
      <w:lvlText w:val="%3."/>
      <w:lvlJc w:val="right"/>
      <w:pPr>
        <w:ind w:left="2520" w:hanging="180"/>
      </w:pPr>
    </w:lvl>
    <w:lvl w:ilvl="3" w:tplc="D108A326">
      <w:start w:val="1"/>
      <w:numFmt w:val="decimal"/>
      <w:lvlText w:val="(%4)"/>
      <w:lvlJc w:val="left"/>
      <w:pPr>
        <w:ind w:left="3240" w:hanging="360"/>
      </w:pPr>
      <w:rPr>
        <w:rFonts w:ascii="Arial" w:eastAsia="MS Mincho" w:hAnsi="Arial" w:cs="Arial"/>
      </w:rPr>
    </w:lvl>
    <w:lvl w:ilvl="4" w:tplc="87CAE102">
      <w:start w:val="1"/>
      <w:numFmt w:val="lowerLetter"/>
      <w:lvlText w:val="%5."/>
      <w:lvlJc w:val="left"/>
      <w:pPr>
        <w:ind w:left="3960" w:hanging="360"/>
      </w:pPr>
      <w:rPr>
        <w:rFonts w:hint="default"/>
      </w:rPr>
    </w:lvl>
    <w:lvl w:ilvl="5" w:tplc="0298CBA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884080"/>
    <w:multiLevelType w:val="hybridMultilevel"/>
    <w:tmpl w:val="7E70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38680C"/>
    <w:multiLevelType w:val="hybridMultilevel"/>
    <w:tmpl w:val="AAD08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8F7848"/>
    <w:multiLevelType w:val="hybridMultilevel"/>
    <w:tmpl w:val="7026EB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157A60"/>
    <w:multiLevelType w:val="hybridMultilevel"/>
    <w:tmpl w:val="F0E8B808"/>
    <w:lvl w:ilvl="0" w:tplc="6B16C746">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0"/>
  </w:num>
  <w:num w:numId="5">
    <w:abstractNumId w:val="14"/>
  </w:num>
  <w:num w:numId="6">
    <w:abstractNumId w:val="17"/>
  </w:num>
  <w:num w:numId="7">
    <w:abstractNumId w:val="4"/>
  </w:num>
  <w:num w:numId="8">
    <w:abstractNumId w:val="8"/>
  </w:num>
  <w:num w:numId="9">
    <w:abstractNumId w:val="10"/>
  </w:num>
  <w:num w:numId="10">
    <w:abstractNumId w:val="21"/>
  </w:num>
  <w:num w:numId="11">
    <w:abstractNumId w:val="5"/>
  </w:num>
  <w:num w:numId="12">
    <w:abstractNumId w:val="3"/>
  </w:num>
  <w:num w:numId="13">
    <w:abstractNumId w:val="6"/>
  </w:num>
  <w:num w:numId="14">
    <w:abstractNumId w:val="2"/>
  </w:num>
  <w:num w:numId="15">
    <w:abstractNumId w:val="18"/>
  </w:num>
  <w:num w:numId="16">
    <w:abstractNumId w:val="20"/>
  </w:num>
  <w:num w:numId="17">
    <w:abstractNumId w:val="11"/>
  </w:num>
  <w:num w:numId="18">
    <w:abstractNumId w:val="1"/>
  </w:num>
  <w:num w:numId="19">
    <w:abstractNumId w:val="9"/>
  </w:num>
  <w:num w:numId="20">
    <w:abstractNumId w:val="15"/>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D42"/>
    <w:rsid w:val="00004EA6"/>
    <w:rsid w:val="000213CC"/>
    <w:rsid w:val="0005662D"/>
    <w:rsid w:val="00060D78"/>
    <w:rsid w:val="00061BDF"/>
    <w:rsid w:val="00064AD1"/>
    <w:rsid w:val="00086FBE"/>
    <w:rsid w:val="00093092"/>
    <w:rsid w:val="000A183F"/>
    <w:rsid w:val="000C11B1"/>
    <w:rsid w:val="000C6CBA"/>
    <w:rsid w:val="000D4AD0"/>
    <w:rsid w:val="000F581C"/>
    <w:rsid w:val="00124E07"/>
    <w:rsid w:val="00130C9D"/>
    <w:rsid w:val="001334A1"/>
    <w:rsid w:val="0013618F"/>
    <w:rsid w:val="00165ADD"/>
    <w:rsid w:val="00166691"/>
    <w:rsid w:val="001C5BDD"/>
    <w:rsid w:val="001D3A7D"/>
    <w:rsid w:val="001D66F4"/>
    <w:rsid w:val="001E0202"/>
    <w:rsid w:val="001E0831"/>
    <w:rsid w:val="00240463"/>
    <w:rsid w:val="00244EDF"/>
    <w:rsid w:val="00266605"/>
    <w:rsid w:val="00267E26"/>
    <w:rsid w:val="00281BC7"/>
    <w:rsid w:val="002C6605"/>
    <w:rsid w:val="00301F16"/>
    <w:rsid w:val="00307908"/>
    <w:rsid w:val="00317CAC"/>
    <w:rsid w:val="00360F1F"/>
    <w:rsid w:val="00361D58"/>
    <w:rsid w:val="003A27F1"/>
    <w:rsid w:val="003A56BA"/>
    <w:rsid w:val="003B2082"/>
    <w:rsid w:val="003B49AF"/>
    <w:rsid w:val="003C787D"/>
    <w:rsid w:val="003F18F5"/>
    <w:rsid w:val="00402D8F"/>
    <w:rsid w:val="00414A25"/>
    <w:rsid w:val="00415176"/>
    <w:rsid w:val="004151D3"/>
    <w:rsid w:val="0047116A"/>
    <w:rsid w:val="004723AD"/>
    <w:rsid w:val="0049014E"/>
    <w:rsid w:val="0049612C"/>
    <w:rsid w:val="004A1E38"/>
    <w:rsid w:val="004C3812"/>
    <w:rsid w:val="004E14DA"/>
    <w:rsid w:val="00501567"/>
    <w:rsid w:val="00503596"/>
    <w:rsid w:val="00510F92"/>
    <w:rsid w:val="0052464F"/>
    <w:rsid w:val="00526C79"/>
    <w:rsid w:val="00543073"/>
    <w:rsid w:val="005430CF"/>
    <w:rsid w:val="005670A7"/>
    <w:rsid w:val="0058090D"/>
    <w:rsid w:val="00580A9F"/>
    <w:rsid w:val="005B34A7"/>
    <w:rsid w:val="005B404B"/>
    <w:rsid w:val="005C7E10"/>
    <w:rsid w:val="005F49FA"/>
    <w:rsid w:val="00610AB8"/>
    <w:rsid w:val="006821D0"/>
    <w:rsid w:val="00687294"/>
    <w:rsid w:val="006A65AF"/>
    <w:rsid w:val="006B0F22"/>
    <w:rsid w:val="006B1493"/>
    <w:rsid w:val="006C2F82"/>
    <w:rsid w:val="006E710F"/>
    <w:rsid w:val="00717EDE"/>
    <w:rsid w:val="0072593B"/>
    <w:rsid w:val="007412BF"/>
    <w:rsid w:val="00742F23"/>
    <w:rsid w:val="007613C6"/>
    <w:rsid w:val="00775A00"/>
    <w:rsid w:val="00777811"/>
    <w:rsid w:val="007B5AE7"/>
    <w:rsid w:val="007D5689"/>
    <w:rsid w:val="007E47AA"/>
    <w:rsid w:val="00803987"/>
    <w:rsid w:val="00807BB3"/>
    <w:rsid w:val="00832377"/>
    <w:rsid w:val="00832D42"/>
    <w:rsid w:val="0086266E"/>
    <w:rsid w:val="00870842"/>
    <w:rsid w:val="00891E8D"/>
    <w:rsid w:val="008979D8"/>
    <w:rsid w:val="008C6068"/>
    <w:rsid w:val="008E28C6"/>
    <w:rsid w:val="00914641"/>
    <w:rsid w:val="00914D70"/>
    <w:rsid w:val="00917C85"/>
    <w:rsid w:val="00927579"/>
    <w:rsid w:val="00940B3E"/>
    <w:rsid w:val="009A2769"/>
    <w:rsid w:val="009D0EA3"/>
    <w:rsid w:val="009E37B1"/>
    <w:rsid w:val="00A01DFA"/>
    <w:rsid w:val="00A039E9"/>
    <w:rsid w:val="00A14E2D"/>
    <w:rsid w:val="00A24E88"/>
    <w:rsid w:val="00A41101"/>
    <w:rsid w:val="00A7119A"/>
    <w:rsid w:val="00A732BC"/>
    <w:rsid w:val="00A93482"/>
    <w:rsid w:val="00A978EA"/>
    <w:rsid w:val="00AC4211"/>
    <w:rsid w:val="00AD2D4C"/>
    <w:rsid w:val="00B01052"/>
    <w:rsid w:val="00B255CA"/>
    <w:rsid w:val="00B44E94"/>
    <w:rsid w:val="00B51165"/>
    <w:rsid w:val="00B74936"/>
    <w:rsid w:val="00B9362A"/>
    <w:rsid w:val="00BA216C"/>
    <w:rsid w:val="00BB1539"/>
    <w:rsid w:val="00BB3657"/>
    <w:rsid w:val="00BB4790"/>
    <w:rsid w:val="00BC0E97"/>
    <w:rsid w:val="00BC7815"/>
    <w:rsid w:val="00C0419A"/>
    <w:rsid w:val="00C23E53"/>
    <w:rsid w:val="00C329AD"/>
    <w:rsid w:val="00C33709"/>
    <w:rsid w:val="00C8154E"/>
    <w:rsid w:val="00CA52BB"/>
    <w:rsid w:val="00CA5998"/>
    <w:rsid w:val="00CB2153"/>
    <w:rsid w:val="00CC2E70"/>
    <w:rsid w:val="00CD1A80"/>
    <w:rsid w:val="00CE74EC"/>
    <w:rsid w:val="00CF512C"/>
    <w:rsid w:val="00CF584C"/>
    <w:rsid w:val="00D10F7C"/>
    <w:rsid w:val="00D21AB4"/>
    <w:rsid w:val="00D37476"/>
    <w:rsid w:val="00D406BF"/>
    <w:rsid w:val="00D448EF"/>
    <w:rsid w:val="00D52141"/>
    <w:rsid w:val="00D56260"/>
    <w:rsid w:val="00D80E2F"/>
    <w:rsid w:val="00D835AD"/>
    <w:rsid w:val="00D95787"/>
    <w:rsid w:val="00DC6F4A"/>
    <w:rsid w:val="00DE6571"/>
    <w:rsid w:val="00DE65BF"/>
    <w:rsid w:val="00E056EC"/>
    <w:rsid w:val="00E377DC"/>
    <w:rsid w:val="00E53410"/>
    <w:rsid w:val="00E72465"/>
    <w:rsid w:val="00EB378B"/>
    <w:rsid w:val="00EC39D8"/>
    <w:rsid w:val="00EC738A"/>
    <w:rsid w:val="00ED73CF"/>
    <w:rsid w:val="00EE32CD"/>
    <w:rsid w:val="00EE4337"/>
    <w:rsid w:val="00F13A01"/>
    <w:rsid w:val="00F321F0"/>
    <w:rsid w:val="00F730DE"/>
    <w:rsid w:val="00F844E5"/>
    <w:rsid w:val="00F93041"/>
    <w:rsid w:val="00FA30D2"/>
    <w:rsid w:val="00FE6DA9"/>
    <w:rsid w:val="00FF3973"/>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437FD8"/>
  <w15:docId w15:val="{00669C24-ACAA-49CD-A211-0B8A8EFF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42"/>
    <w:rPr>
      <w:rFonts w:ascii="Calibri" w:eastAsia="Calibri" w:hAnsi="Calibri" w:cs="Times New Roman"/>
    </w:rPr>
  </w:style>
  <w:style w:type="paragraph" w:styleId="Footer">
    <w:name w:val="footer"/>
    <w:basedOn w:val="Normal"/>
    <w:link w:val="FooterChar"/>
    <w:uiPriority w:val="99"/>
    <w:unhideWhenUsed/>
    <w:rsid w:val="0083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42"/>
    <w:rPr>
      <w:rFonts w:ascii="Calibri" w:eastAsia="Calibri" w:hAnsi="Calibri" w:cs="Times New Roman"/>
    </w:rPr>
  </w:style>
  <w:style w:type="paragraph" w:styleId="ListParagraph">
    <w:name w:val="List Paragraph"/>
    <w:basedOn w:val="Normal"/>
    <w:uiPriority w:val="34"/>
    <w:qFormat/>
    <w:rsid w:val="00832D42"/>
    <w:pPr>
      <w:ind w:left="720"/>
      <w:contextualSpacing/>
    </w:pPr>
  </w:style>
  <w:style w:type="paragraph" w:styleId="NormalWeb">
    <w:name w:val="Normal (Web)"/>
    <w:basedOn w:val="Normal"/>
    <w:rsid w:val="00832D4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42"/>
    <w:rPr>
      <w:rFonts w:ascii="Tahoma" w:eastAsia="Calibri" w:hAnsi="Tahoma" w:cs="Tahoma"/>
      <w:sz w:val="16"/>
      <w:szCs w:val="16"/>
    </w:rPr>
  </w:style>
  <w:style w:type="character" w:styleId="Hyperlink">
    <w:name w:val="Hyperlink"/>
    <w:basedOn w:val="DefaultParagraphFont"/>
    <w:uiPriority w:val="99"/>
    <w:unhideWhenUsed/>
    <w:rsid w:val="006821D0"/>
    <w:rPr>
      <w:color w:val="0000FF" w:themeColor="hyperlink"/>
      <w:u w:val="single"/>
    </w:rPr>
  </w:style>
  <w:style w:type="table" w:styleId="TableGrid">
    <w:name w:val="Table Grid"/>
    <w:basedOn w:val="TableNormal"/>
    <w:rsid w:val="00D80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80E2F"/>
    <w:rPr>
      <w:color w:val="808080"/>
    </w:rPr>
  </w:style>
  <w:style w:type="character" w:styleId="FollowedHyperlink">
    <w:name w:val="FollowedHyperlink"/>
    <w:basedOn w:val="DefaultParagraphFont"/>
    <w:uiPriority w:val="99"/>
    <w:semiHidden/>
    <w:unhideWhenUsed/>
    <w:rsid w:val="00A732BC"/>
    <w:rPr>
      <w:color w:val="800080" w:themeColor="followedHyperlink"/>
      <w:u w:val="single"/>
    </w:rPr>
  </w:style>
  <w:style w:type="character" w:styleId="CommentReference">
    <w:name w:val="annotation reference"/>
    <w:basedOn w:val="DefaultParagraphFont"/>
    <w:uiPriority w:val="99"/>
    <w:semiHidden/>
    <w:unhideWhenUsed/>
    <w:rsid w:val="006B1493"/>
    <w:rPr>
      <w:sz w:val="16"/>
      <w:szCs w:val="16"/>
    </w:rPr>
  </w:style>
  <w:style w:type="paragraph" w:styleId="CommentText">
    <w:name w:val="annotation text"/>
    <w:basedOn w:val="Normal"/>
    <w:link w:val="CommentTextChar"/>
    <w:uiPriority w:val="99"/>
    <w:semiHidden/>
    <w:unhideWhenUsed/>
    <w:rsid w:val="006B1493"/>
    <w:pPr>
      <w:spacing w:line="240" w:lineRule="auto"/>
    </w:pPr>
    <w:rPr>
      <w:sz w:val="20"/>
      <w:szCs w:val="20"/>
    </w:rPr>
  </w:style>
  <w:style w:type="character" w:customStyle="1" w:styleId="CommentTextChar">
    <w:name w:val="Comment Text Char"/>
    <w:basedOn w:val="DefaultParagraphFont"/>
    <w:link w:val="CommentText"/>
    <w:uiPriority w:val="99"/>
    <w:semiHidden/>
    <w:rsid w:val="006B1493"/>
  </w:style>
  <w:style w:type="paragraph" w:styleId="CommentSubject">
    <w:name w:val="annotation subject"/>
    <w:basedOn w:val="CommentText"/>
    <w:next w:val="CommentText"/>
    <w:link w:val="CommentSubjectChar"/>
    <w:uiPriority w:val="99"/>
    <w:semiHidden/>
    <w:unhideWhenUsed/>
    <w:rsid w:val="006B1493"/>
    <w:rPr>
      <w:b/>
      <w:bCs/>
    </w:rPr>
  </w:style>
  <w:style w:type="character" w:customStyle="1" w:styleId="CommentSubjectChar">
    <w:name w:val="Comment Subject Char"/>
    <w:basedOn w:val="CommentTextChar"/>
    <w:link w:val="CommentSubject"/>
    <w:uiPriority w:val="99"/>
    <w:semiHidden/>
    <w:rsid w:val="006B1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EA174A0DC488888342E981C20E895"/>
        <w:category>
          <w:name w:val="General"/>
          <w:gallery w:val="placeholder"/>
        </w:category>
        <w:types>
          <w:type w:val="bbPlcHdr"/>
        </w:types>
        <w:behaviors>
          <w:behavior w:val="content"/>
        </w:behaviors>
        <w:guid w:val="{24873064-720F-4202-9F74-A260F83111CD}"/>
      </w:docPartPr>
      <w:docPartBody>
        <w:p w:rsidR="009366B8" w:rsidRDefault="00CC34E0" w:rsidP="00CC34E0">
          <w:pPr>
            <w:pStyle w:val="27DEA174A0DC488888342E981C20E895"/>
          </w:pPr>
          <w:r w:rsidRPr="003A54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4E0"/>
    <w:rsid w:val="00096DF4"/>
    <w:rsid w:val="00190163"/>
    <w:rsid w:val="001A639B"/>
    <w:rsid w:val="001F40AE"/>
    <w:rsid w:val="00256B20"/>
    <w:rsid w:val="005D4B29"/>
    <w:rsid w:val="0060606C"/>
    <w:rsid w:val="007B6589"/>
    <w:rsid w:val="007C372A"/>
    <w:rsid w:val="007E48CC"/>
    <w:rsid w:val="008240DB"/>
    <w:rsid w:val="00866F21"/>
    <w:rsid w:val="008D742E"/>
    <w:rsid w:val="00915D46"/>
    <w:rsid w:val="009366B8"/>
    <w:rsid w:val="00C81925"/>
    <w:rsid w:val="00CC34E0"/>
    <w:rsid w:val="00D50F91"/>
    <w:rsid w:val="00D86A88"/>
    <w:rsid w:val="00DA07DF"/>
    <w:rsid w:val="00EB6144"/>
    <w:rsid w:val="00F609C4"/>
    <w:rsid w:val="00F62890"/>
    <w:rsid w:val="00FC0047"/>
    <w:rsid w:val="00FF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4E0"/>
    <w:rPr>
      <w:color w:val="808080"/>
    </w:rPr>
  </w:style>
  <w:style w:type="paragraph" w:customStyle="1" w:styleId="27DEA174A0DC488888342E981C20E895">
    <w:name w:val="27DEA174A0DC488888342E981C20E895"/>
    <w:rsid w:val="00CC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 Policy Document" ma:contentTypeID="0x01010095AAE1154E437C4FB2D932792DED4033020007CDCE7C69A70941A96F49CD5ED18676" ma:contentTypeVersion="24" ma:contentTypeDescription="Use this template for new Port policy documents." ma:contentTypeScope="" ma:versionID="593e9b1e3f5e0c9bd2572c9a35563983">
  <xsd:schema xmlns:xsd="http://www.w3.org/2001/XMLSchema" xmlns:xs="http://www.w3.org/2001/XMLSchema" xmlns:p="http://schemas.microsoft.com/office/2006/metadata/properties" xmlns:ns1="http://schemas.microsoft.com/sharepoint/v3" xmlns:ns2="950e9dd1-f063-43f8-9abe-cbacba892cb9" xmlns:ns3="b5920691-a1ab-41de-bec0-f6807511a3cd" targetNamespace="http://schemas.microsoft.com/office/2006/metadata/properties" ma:root="true" ma:fieldsID="26390722117e6bb320d54cb4b4b5cb91" ns1:_="" ns2:_="" ns3:_="">
    <xsd:import namespace="http://schemas.microsoft.com/sharepoint/v3"/>
    <xsd:import namespace="950e9dd1-f063-43f8-9abe-cbacba892cb9"/>
    <xsd:import namespace="b5920691-a1ab-41de-bec0-f6807511a3cd"/>
    <xsd:element name="properties">
      <xsd:complexType>
        <xsd:sequence>
          <xsd:element name="documentManagement">
            <xsd:complexType>
              <xsd:all>
                <xsd:element ref="ns1:RoutingRuleDescription" minOccurs="0"/>
                <xsd:element ref="ns2:Document_x0020_status"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o9164691913945bbb568011e3c91a2c7" minOccurs="0"/>
                <xsd:element ref="ns3:Policy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9dd1-f063-43f8-9abe-cbacba892cb9" elementFormDefault="qualified">
    <xsd:import namespace="http://schemas.microsoft.com/office/2006/documentManagement/types"/>
    <xsd:import namespace="http://schemas.microsoft.com/office/infopath/2007/PartnerControls"/>
    <xsd:element name="Document_x0020_status" ma:index="5" nillable="true" ma:displayName="Document Status" ma:default="Final" ma:description="Provide status of document to aid in records management." ma:format="Dropdown" ma:internalName="Document_x0020_status" ma:readOnly="false">
      <xsd:simpleType>
        <xsd:restriction base="dms:Choice">
          <xsd:enumeration value="Draft"/>
          <xsd:enumeration value="Final"/>
          <xsd:enumeration value="For review"/>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c373a15-6a0b-40e6-a08a-d16701af38ac}" ma:internalName="TaxCatchAll" ma:showField="CatchAllData" ma:web="950e9dd1-f063-43f8-9abe-cbacba892cb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c373a15-6a0b-40e6-a08a-d16701af38ac}" ma:internalName="TaxCatchAllLabel" ma:readOnly="true" ma:showField="CatchAllDataLabel" ma:web="950e9dd1-f063-43f8-9abe-cbacba892cb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o9164691913945bbb568011e3c91a2c7" ma:index="15" nillable="true" ma:taxonomy="true" ma:internalName="o9164691913945bbb568011e3c91a2c7" ma:taxonomyFieldName="Dept" ma:displayName="Port Department" ma:default="" ma:fieldId="{89164691-9139-45bb-b568-011e3c91a2c7}" ma:sspId="aa8ab812-c6d3-445a-a8ae-284a56e0056e" ma:termSetId="919f654f-615d-4285-b5da-159ebc365c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20691-a1ab-41de-bec0-f6807511a3cd" elementFormDefault="qualified">
    <xsd:import namespace="http://schemas.microsoft.com/office/2006/documentManagement/types"/>
    <xsd:import namespace="http://schemas.microsoft.com/office/infopath/2007/PartnerControls"/>
    <xsd:element name="Policy_x0020_number" ma:index="19" ma:displayName="Policy number" ma:description="Enter the number of the Port Policy." ma:internalName="Policy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9164691913945bbb568011e3c91a2c7 xmlns="950e9dd1-f063-43f8-9abe-cbacba892cb9">
      <Terms xmlns="http://schemas.microsoft.com/office/infopath/2007/PartnerControls">
        <TermInfo xmlns="http://schemas.microsoft.com/office/infopath/2007/PartnerControls">
          <TermName xmlns="http://schemas.microsoft.com/office/infopath/2007/PartnerControls">External Affairs</TermName>
          <TermId xmlns="http://schemas.microsoft.com/office/infopath/2007/PartnerControls">55bdc912-87e3-413f-a67c-29a7cb8dc090</TermId>
        </TermInfo>
      </Terms>
    </o9164691913945bbb568011e3c91a2c7>
    <Document_x0020_status xmlns="950e9dd1-f063-43f8-9abe-cbacba892cb9">Final</Document_x0020_status>
    <RoutingRuleDescription xmlns="http://schemas.microsoft.com/sharepoint/v3" xsi:nil="true"/>
    <TaxKeywordTaxHTField xmlns="950e9dd1-f063-43f8-9abe-cbacba892cb9">
      <Terms xmlns="http://schemas.microsoft.com/office/infopath/2007/PartnerControls">
        <TermInfo xmlns="http://schemas.microsoft.com/office/infopath/2007/PartnerControls">
          <TermName xmlns="http://schemas.microsoft.com/office/infopath/2007/PartnerControls">Blog</TermName>
          <TermId xmlns="http://schemas.microsoft.com/office/infopath/2007/PartnerControls">4e269811-fa89-45a6-a065-9f537963f5ac</TermId>
        </TermInfo>
        <TermInfo xmlns="http://schemas.microsoft.com/office/infopath/2007/PartnerControls">
          <TermName xmlns="http://schemas.microsoft.com/office/infopath/2007/PartnerControls">twitter</TermName>
          <TermId xmlns="http://schemas.microsoft.com/office/infopath/2007/PartnerControls">6de7a590-d927-4363-b57f-141c3ee4542c</TermId>
        </TermInfo>
        <TermInfo xmlns="http://schemas.microsoft.com/office/infopath/2007/PartnerControls">
          <TermName xmlns="http://schemas.microsoft.com/office/infopath/2007/PartnerControls">facebook</TermName>
          <TermId xmlns="http://schemas.microsoft.com/office/infopath/2007/PartnerControls">3f271e50-3bf7-4fbb-a3b3-f6c5913e4844</TermId>
        </TermInfo>
        <TermInfo xmlns="http://schemas.microsoft.com/office/infopath/2007/PartnerControls">
          <TermName xmlns="http://schemas.microsoft.com/office/infopath/2007/PartnerControls">linkedin</TermName>
          <TermId xmlns="http://schemas.microsoft.com/office/infopath/2007/PartnerControls">1da187df-84c3-4ecd-bc49-a3b88e81e3ab</TermId>
        </TermInfo>
        <TermInfo xmlns="http://schemas.microsoft.com/office/infopath/2007/PartnerControls">
          <TermName xmlns="http://schemas.microsoft.com/office/infopath/2007/PartnerControls">youtube</TermName>
          <TermId xmlns="http://schemas.microsoft.com/office/infopath/2007/PartnerControls">107b5e77-059f-467f-a049-100d887dc3a9</TermId>
        </TermInfo>
      </Terms>
    </TaxKeywordTaxHTField>
    <Policy_x0020_number xmlns="b5920691-a1ab-41de-bec0-f6807511a3cd">EA04</Policy_x0020_number>
    <TaxCatchAll xmlns="950e9dd1-f063-43f8-9abe-cbacba892cb9">
      <Value>1636</Value>
      <Value>1635</Value>
      <Value>1634</Value>
      <Value>940</Value>
      <Value>939</Value>
      <Value>70</Value>
    </TaxCatchAll>
    <_dlc_DocId xmlns="950e9dd1-f063-43f8-9abe-cbacba892cb9">FCCU2H3R7MWZ-75-365</_dlc_DocId>
    <_dlc_DocIdUrl xmlns="950e9dd1-f063-43f8-9abe-cbacba892cb9">
      <Url>http://myport.tac.port/ResourceCenter/_layouts/DocIdRedir.aspx?ID=FCCU2H3R7MWZ-75-365</Url>
      <Description>FCCU2H3R7MWZ-75-365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C733FF-B6A8-4ECD-A65C-D1765A15FF24}">
  <ds:schemaRefs>
    <ds:schemaRef ds:uri="http://schemas.microsoft.com/sharepoint/v3/contenttype/forms"/>
  </ds:schemaRefs>
</ds:datastoreItem>
</file>

<file path=customXml/itemProps2.xml><?xml version="1.0" encoding="utf-8"?>
<ds:datastoreItem xmlns:ds="http://schemas.openxmlformats.org/officeDocument/2006/customXml" ds:itemID="{C4C4AEBC-722E-4847-AD13-33337096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0e9dd1-f063-43f8-9abe-cbacba892cb9"/>
    <ds:schemaRef ds:uri="b5920691-a1ab-41de-bec0-f6807511a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8E595-1189-45ED-BC46-627A8CD8E6C7}">
  <ds:schemaRefs>
    <ds:schemaRef ds:uri="http://schemas.microsoft.com/office/2006/metadata/properties"/>
    <ds:schemaRef ds:uri="http://schemas.microsoft.com/office/infopath/2007/PartnerControls"/>
    <ds:schemaRef ds:uri="950e9dd1-f063-43f8-9abe-cbacba892cb9"/>
    <ds:schemaRef ds:uri="http://schemas.microsoft.com/sharepoint/v3"/>
    <ds:schemaRef ds:uri="b5920691-a1ab-41de-bec0-f6807511a3cd"/>
  </ds:schemaRefs>
</ds:datastoreItem>
</file>

<file path=customXml/itemProps4.xml><?xml version="1.0" encoding="utf-8"?>
<ds:datastoreItem xmlns:ds="http://schemas.openxmlformats.org/officeDocument/2006/customXml" ds:itemID="{D36B3B29-6F84-4B61-ACE2-DDD7C35705BC}">
  <ds:schemaRefs>
    <ds:schemaRef ds:uri="http://schemas.openxmlformats.org/officeDocument/2006/bibliography"/>
  </ds:schemaRefs>
</ds:datastoreItem>
</file>

<file path=customXml/itemProps5.xml><?xml version="1.0" encoding="utf-8"?>
<ds:datastoreItem xmlns:ds="http://schemas.openxmlformats.org/officeDocument/2006/customXml" ds:itemID="{CE82ED99-1F9B-4F2C-BFF0-0F68FE4E85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keywords>youtube; facebook; twitter; Blog; linkedin</cp:keywords>
  <cp:lastModifiedBy>Kelli Hodges</cp:lastModifiedBy>
  <cp:revision>6</cp:revision>
  <cp:lastPrinted>2017-05-18T16:58:00Z</cp:lastPrinted>
  <dcterms:created xsi:type="dcterms:W3CDTF">2017-11-03T18:58:00Z</dcterms:created>
  <dcterms:modified xsi:type="dcterms:W3CDTF">2022-02-02T16:27:00Z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0x01010095AAE1154E437C4FB2D932792DED4033020007CDCE7C69A70941A96F49CD5ED18676</vt:lpwstr>
  </property>
  <property fmtid="{D5CDD505-2E9C-101B-9397-08002B2CF9AE}" pid="3" name="_dlc_DocIdItemGuid">
    <vt:lpwstr>2f911980-61ca-41af-918e-067e855e5e71</vt:lpwstr>
  </property>
  <property fmtid="{D5CDD505-2E9C-101B-9397-08002B2CF9AE}" pid="4" name="TaxKeyword">
    <vt:lpwstr>1634;#Blog|4e269811-fa89-45a6-a065-9f537963f5ac;#939;#twitter|6de7a590-d927-4363-b57f-141c3ee4542c;#940;#facebook|3f271e50-3bf7-4fbb-a3b3-f6c5913e4844;#1635;#linkedin|1da187df-84c3-4ecd-bc49-a3b88e81e3ab;#1636;#youtube|107b5e77-059f-467f-a049-100d887dc3a9</vt:lpwstr>
  </property>
  <property fmtid="{D5CDD505-2E9C-101B-9397-08002B2CF9AE}" pid="5" name="Dept">
    <vt:lpwstr>70;#External Affairs|55bdc912-87e3-413f-a67c-29a7cb8dc090</vt:lpwstr>
  </property>
</Properties>
</file>